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13E" w:rsidRPr="00CA0F4B" w:rsidRDefault="002C013E" w:rsidP="000F68ED">
      <w:pPr>
        <w:pStyle w:val="Heading1"/>
        <w:bidi w:val="0"/>
        <w:rPr>
          <w:rFonts w:ascii="Bookman Old Style" w:hAnsi="Bookman Old Style" w:cs="Traditional Arabic"/>
          <w:sz w:val="23"/>
          <w:szCs w:val="23"/>
        </w:rPr>
      </w:pPr>
      <w:r w:rsidRPr="00CA0F4B">
        <w:rPr>
          <w:rFonts w:ascii="Bookman Old Style" w:hAnsi="Bookman Old Style" w:cs="Traditional Arabic"/>
          <w:sz w:val="23"/>
          <w:szCs w:val="23"/>
        </w:rPr>
        <w:t>Palestinian Central Bureau of Statistics</w:t>
      </w:r>
    </w:p>
    <w:p w:rsidR="000F68ED" w:rsidRPr="000F68ED" w:rsidRDefault="00AA6F2F" w:rsidP="00AA6F2F">
      <w:pPr>
        <w:pStyle w:val="Heading1"/>
        <w:bidi w:val="0"/>
        <w:rPr>
          <w:rFonts w:ascii="Bookman Old Style" w:hAnsi="Bookman Old Style" w:cs="Traditional Arabic"/>
          <w:sz w:val="22"/>
          <w:szCs w:val="22"/>
        </w:rPr>
      </w:pPr>
      <w:r>
        <w:rPr>
          <w:rFonts w:ascii="Bookman Old Style" w:hAnsi="Bookman Old Style" w:cs="Traditional Arabic"/>
          <w:sz w:val="22"/>
          <w:szCs w:val="22"/>
        </w:rPr>
        <w:t>"A Special Bulletin</w:t>
      </w:r>
      <w:r w:rsidR="000F68ED" w:rsidRPr="000F68ED">
        <w:rPr>
          <w:rFonts w:ascii="Bookman Old Style" w:hAnsi="Bookman Old Style" w:cs="Traditional Arabic"/>
          <w:sz w:val="22"/>
          <w:szCs w:val="22"/>
        </w:rPr>
        <w:t xml:space="preserve"> on </w:t>
      </w:r>
      <w:r>
        <w:rPr>
          <w:rFonts w:ascii="Bookman Old Style" w:hAnsi="Bookman Old Style" w:cs="Traditional Arabic"/>
          <w:sz w:val="22"/>
          <w:szCs w:val="22"/>
        </w:rPr>
        <w:t xml:space="preserve">the </w:t>
      </w:r>
      <w:r w:rsidR="000F68ED" w:rsidRPr="000F68ED">
        <w:rPr>
          <w:rFonts w:ascii="Bookman Old Style" w:hAnsi="Bookman Old Style" w:cs="Traditional Arabic"/>
          <w:sz w:val="22"/>
          <w:szCs w:val="22"/>
        </w:rPr>
        <w:t xml:space="preserve">Palestinian Population </w:t>
      </w:r>
      <w:r>
        <w:rPr>
          <w:rFonts w:ascii="Bookman Old Style" w:hAnsi="Bookman Old Style" w:cs="Traditional Arabic"/>
          <w:sz w:val="22"/>
          <w:szCs w:val="22"/>
        </w:rPr>
        <w:t>as the</w:t>
      </w:r>
      <w:r w:rsidR="000F68ED" w:rsidRPr="000F68ED">
        <w:rPr>
          <w:rFonts w:ascii="Bookman Old Style" w:hAnsi="Bookman Old Style" w:cs="Traditional Arabic"/>
          <w:sz w:val="22"/>
          <w:szCs w:val="22"/>
        </w:rPr>
        <w:t xml:space="preserve"> World Reach</w:t>
      </w:r>
      <w:r>
        <w:rPr>
          <w:rFonts w:ascii="Bookman Old Style" w:hAnsi="Bookman Old Style" w:cs="Traditional Arabic"/>
          <w:sz w:val="22"/>
          <w:szCs w:val="22"/>
        </w:rPr>
        <w:t>es</w:t>
      </w:r>
      <w:r w:rsidR="000F68ED" w:rsidRPr="000F68ED">
        <w:rPr>
          <w:rFonts w:ascii="Bookman Old Style" w:hAnsi="Bookman Old Style" w:cs="Traditional Arabic"/>
          <w:sz w:val="22"/>
          <w:szCs w:val="22"/>
        </w:rPr>
        <w:t xml:space="preserve"> </w:t>
      </w:r>
      <w:r>
        <w:rPr>
          <w:rFonts w:ascii="Bookman Old Style" w:hAnsi="Bookman Old Style" w:cs="Traditional Arabic"/>
          <w:sz w:val="22"/>
          <w:szCs w:val="22"/>
        </w:rPr>
        <w:t>VII</w:t>
      </w:r>
      <w:r w:rsidR="000F68ED" w:rsidRPr="000F68ED">
        <w:rPr>
          <w:rFonts w:ascii="Bookman Old Style" w:hAnsi="Bookman Old Style" w:cs="Traditional Arabic"/>
          <w:sz w:val="22"/>
          <w:szCs w:val="22"/>
        </w:rPr>
        <w:t xml:space="preserve"> Billion</w:t>
      </w:r>
      <w:r>
        <w:rPr>
          <w:rFonts w:ascii="Bookman Old Style" w:hAnsi="Bookman Old Style" w:cs="Traditional Arabic"/>
          <w:sz w:val="22"/>
          <w:szCs w:val="22"/>
        </w:rPr>
        <w:t>"</w:t>
      </w:r>
    </w:p>
    <w:p w:rsidR="007F6979" w:rsidRPr="00CA0F4B" w:rsidRDefault="007F6979" w:rsidP="000F68ED">
      <w:pPr>
        <w:bidi w:val="0"/>
        <w:rPr>
          <w:sz w:val="20"/>
          <w:szCs w:val="16"/>
          <w:rtl/>
          <w:lang w:eastAsia="en-US"/>
        </w:rPr>
      </w:pPr>
    </w:p>
    <w:p w:rsidR="004040FA" w:rsidRDefault="006A692F" w:rsidP="009D45E1">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Preparing this brochure comes within the international celebrations on the eve of the world reaching 7 billion. It touches on the most important demographic and social indicators of the Palestinian population in the Palestinian Territory. The following are the most important population indicators in the Palestinian Territory</w:t>
      </w:r>
      <w:r w:rsidR="009D45E1">
        <w:rPr>
          <w:rFonts w:ascii="Bookman Old Style" w:hAnsi="Bookman Old Style" w:cs="Traditional Arabic"/>
          <w:shadow/>
          <w:color w:val="008080"/>
          <w:sz w:val="20"/>
          <w:lang w:eastAsia="en-US"/>
        </w:rPr>
        <w:t>.</w:t>
      </w:r>
    </w:p>
    <w:p w:rsidR="009D45E1" w:rsidRPr="009D45E1" w:rsidRDefault="009D45E1" w:rsidP="009D45E1">
      <w:pPr>
        <w:bidi w:val="0"/>
        <w:jc w:val="both"/>
        <w:rPr>
          <w:rFonts w:ascii="Bookman Old Style" w:hAnsi="Bookman Old Style" w:cs="Traditional Arabic"/>
          <w:shadow/>
          <w:color w:val="008080"/>
          <w:sz w:val="12"/>
          <w:szCs w:val="12"/>
          <w:rtl/>
          <w:lang w:eastAsia="en-US"/>
        </w:rPr>
      </w:pPr>
    </w:p>
    <w:p w:rsidR="006A692F" w:rsidRPr="009D45E1" w:rsidRDefault="006A692F" w:rsidP="009D45E1">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 xml:space="preserve">It is expected that the total population size in the Palestinian territory will increase from 4.17 million in mid 2011 to 5.37 million in mid 2020 equivalent to 28.7% increase. According to expectations, population size in the Palestinian territory will reach in mid 2025 about 6.06 million equivalent to 45.4% increase more than population size in mid 2011. </w:t>
      </w:r>
    </w:p>
    <w:p w:rsidR="00CA0F4B" w:rsidRDefault="00CA0F4B" w:rsidP="0021167D">
      <w:pPr>
        <w:pStyle w:val="Heading1"/>
        <w:bidi w:val="0"/>
        <w:rPr>
          <w:rFonts w:ascii="Bookman Old Style" w:hAnsi="Bookman Old Style" w:cs="Traditional Arabic"/>
          <w:sz w:val="18"/>
          <w:szCs w:val="18"/>
          <w:rtl/>
        </w:rPr>
      </w:pPr>
    </w:p>
    <w:p w:rsidR="004443A4" w:rsidRPr="0021167D" w:rsidRDefault="003C5437" w:rsidP="00AA6F2F">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tl/>
        </w:rPr>
        <w:drawing>
          <wp:anchor distT="0" distB="0" distL="114300" distR="114300" simplePos="0" relativeHeight="251657728" behindDoc="0" locked="0" layoutInCell="1" allowOverlap="1">
            <wp:simplePos x="0" y="0"/>
            <wp:positionH relativeFrom="column">
              <wp:align>center</wp:align>
            </wp:positionH>
            <wp:positionV relativeFrom="paragraph">
              <wp:posOffset>368935</wp:posOffset>
            </wp:positionV>
            <wp:extent cx="3170555" cy="2040890"/>
            <wp:effectExtent l="0" t="0" r="0" b="0"/>
            <wp:wrapSquare wrapText="bothSides"/>
            <wp:docPr id="34" name="Object 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4443A4" w:rsidRPr="0021167D">
        <w:rPr>
          <w:rFonts w:ascii="Bookman Old Style" w:hAnsi="Bookman Old Style" w:cs="Traditional Arabic"/>
          <w:sz w:val="18"/>
          <w:szCs w:val="18"/>
        </w:rPr>
        <w:t xml:space="preserve"> </w:t>
      </w:r>
      <w:r w:rsidR="00AA6F2F">
        <w:rPr>
          <w:rFonts w:ascii="Bookman Old Style" w:hAnsi="Bookman Old Style" w:cs="Traditional Arabic"/>
          <w:sz w:val="18"/>
          <w:szCs w:val="18"/>
        </w:rPr>
        <w:t>Projected</w:t>
      </w:r>
      <w:r w:rsidR="004443A4" w:rsidRPr="0021167D">
        <w:rPr>
          <w:rFonts w:ascii="Bookman Old Style" w:hAnsi="Bookman Old Style" w:cs="Traditional Arabic"/>
          <w:sz w:val="18"/>
          <w:szCs w:val="18"/>
        </w:rPr>
        <w:t xml:space="preserve"> Number </w:t>
      </w:r>
      <w:r w:rsidR="00AA6F2F">
        <w:rPr>
          <w:rFonts w:ascii="Bookman Old Style" w:hAnsi="Bookman Old Style" w:cs="Traditional Arabic"/>
          <w:sz w:val="18"/>
          <w:szCs w:val="18"/>
        </w:rPr>
        <w:t>o</w:t>
      </w:r>
      <w:r w:rsidR="004443A4" w:rsidRPr="0021167D">
        <w:rPr>
          <w:rFonts w:ascii="Bookman Old Style" w:hAnsi="Bookman Old Style" w:cs="Traditional Arabic"/>
          <w:sz w:val="18"/>
          <w:szCs w:val="18"/>
        </w:rPr>
        <w:t>f Population in the Palestinian Territory by Region, Selected Years</w:t>
      </w:r>
    </w:p>
    <w:p w:rsidR="001D1F67" w:rsidRPr="004040FA" w:rsidRDefault="001D1F67" w:rsidP="004443A4">
      <w:pPr>
        <w:bidi w:val="0"/>
        <w:jc w:val="center"/>
        <w:rPr>
          <w:rFonts w:ascii="Tahoma" w:hAnsi="Tahoma" w:cs="Monotype Koufi"/>
          <w:shadow/>
          <w:color w:val="000000"/>
          <w:sz w:val="18"/>
          <w:szCs w:val="18"/>
          <w:rtl/>
          <w:lang w:eastAsia="en-US"/>
        </w:rPr>
      </w:pPr>
    </w:p>
    <w:p w:rsidR="006A692F" w:rsidRPr="009D45E1" w:rsidRDefault="006A692F" w:rsidP="009D45E1">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 xml:space="preserve">Palestinian society is a young society. Percentage of the young individuals less than 15 years reached 40.8% of the total population size where percentage of individuals aged 65 and over reached 2.9% only in 2011. </w:t>
      </w:r>
    </w:p>
    <w:p w:rsidR="00D329AA" w:rsidRDefault="00D329AA" w:rsidP="000F68ED">
      <w:pPr>
        <w:bidi w:val="0"/>
        <w:jc w:val="center"/>
        <w:rPr>
          <w:rFonts w:eastAsia="Arial Unicode MS"/>
          <w:sz w:val="12"/>
          <w:szCs w:val="12"/>
          <w:rtl/>
        </w:rPr>
      </w:pPr>
    </w:p>
    <w:p w:rsidR="00D329AA" w:rsidRPr="0021167D" w:rsidRDefault="00CC655F" w:rsidP="00AA6F2F">
      <w:pPr>
        <w:pStyle w:val="Heading1"/>
        <w:bidi w:val="0"/>
        <w:rPr>
          <w:rFonts w:ascii="Bookman Old Style" w:hAnsi="Bookman Old Style" w:cs="Traditional Arabic"/>
          <w:sz w:val="18"/>
          <w:szCs w:val="18"/>
          <w:rtl/>
        </w:rPr>
      </w:pPr>
      <w:r w:rsidRPr="0021167D">
        <w:rPr>
          <w:rFonts w:ascii="Bookman Old Style" w:hAnsi="Bookman Old Style" w:cs="Traditional Arabic"/>
          <w:sz w:val="18"/>
          <w:szCs w:val="18"/>
        </w:rPr>
        <w:lastRenderedPageBreak/>
        <w:t>Population Pyramid in the Palestinian Territory</w:t>
      </w:r>
      <w:r w:rsidR="00AA6F2F">
        <w:rPr>
          <w:rFonts w:ascii="Bookman Old Style" w:hAnsi="Bookman Old Style" w:cs="Traditional Arabic"/>
          <w:sz w:val="18"/>
          <w:szCs w:val="18"/>
        </w:rPr>
        <w:t>,</w:t>
      </w:r>
      <w:r w:rsidRPr="0021167D">
        <w:rPr>
          <w:rFonts w:ascii="Bookman Old Style" w:hAnsi="Bookman Old Style" w:cs="Traditional Arabic"/>
          <w:sz w:val="18"/>
          <w:szCs w:val="18"/>
        </w:rPr>
        <w:t xml:space="preserve"> </w:t>
      </w:r>
      <w:r w:rsidR="00AA6F2F">
        <w:rPr>
          <w:rFonts w:ascii="Bookman Old Style" w:hAnsi="Bookman Old Style" w:cs="Traditional Arabic"/>
          <w:sz w:val="18"/>
          <w:szCs w:val="18"/>
        </w:rPr>
        <w:t xml:space="preserve">Mid year </w:t>
      </w:r>
      <w:r w:rsidRPr="0021167D">
        <w:rPr>
          <w:rFonts w:ascii="Bookman Old Style" w:hAnsi="Bookman Old Style" w:cs="Traditional Arabic"/>
          <w:sz w:val="18"/>
          <w:szCs w:val="18"/>
        </w:rPr>
        <w:t>2011</w:t>
      </w:r>
    </w:p>
    <w:p w:rsidR="00497863" w:rsidRDefault="003C5437" w:rsidP="000F68ED">
      <w:pPr>
        <w:bidi w:val="0"/>
        <w:jc w:val="center"/>
        <w:rPr>
          <w:rFonts w:ascii="Tahoma" w:hAnsi="Tahoma" w:cs="Monotype Koufi"/>
          <w:shadow/>
          <w:color w:val="000000"/>
          <w:sz w:val="18"/>
          <w:szCs w:val="18"/>
          <w:rtl/>
          <w:lang w:eastAsia="en-US"/>
        </w:rPr>
      </w:pPr>
      <w:r>
        <w:rPr>
          <w:rFonts w:ascii="Bookman Old Style" w:hAnsi="Bookman Old Style"/>
          <w:sz w:val="20"/>
          <w:lang w:eastAsia="en-US"/>
        </w:rPr>
        <w:drawing>
          <wp:inline distT="0" distB="0" distL="0" distR="0">
            <wp:extent cx="2708275" cy="2411095"/>
            <wp:effectExtent l="1905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A692F" w:rsidRPr="004443A4" w:rsidRDefault="006A692F" w:rsidP="009D45E1">
      <w:pPr>
        <w:bidi w:val="0"/>
        <w:jc w:val="both"/>
        <w:rPr>
          <w:rFonts w:ascii="Bookman Old Style" w:hAnsi="Bookman Old Style" w:cs="Traditional Arabic"/>
          <w:shadow/>
          <w:color w:val="008080"/>
          <w:sz w:val="19"/>
          <w:szCs w:val="19"/>
          <w:lang w:eastAsia="en-US"/>
        </w:rPr>
      </w:pPr>
      <w:r w:rsidRPr="004443A4">
        <w:rPr>
          <w:rFonts w:ascii="Bookman Old Style" w:hAnsi="Bookman Old Style" w:cs="Traditional Arabic"/>
          <w:shadow/>
          <w:color w:val="008080"/>
          <w:sz w:val="19"/>
          <w:szCs w:val="19"/>
          <w:lang w:eastAsia="en-US"/>
        </w:rPr>
        <w:t xml:space="preserve">Population density is high in the Palestinian territory in general and in Gaza Strip in particular due to having 1.6 million individuals concentrated in an area which does not exceed 365 km². Most of them are refugees forced out of their land occupied in 1948; in addition to the high natural increase of the Palestinian population in the Palestinian territory. Knowing that Palestinian citizens are prohibited to access 45.5% of West Bank area size and 24.0% of Gaza Strip area size due to building the Israeli settlements, establishing military camps or isolating the land as a result of building the annexation and expansion wall or for establishing Israeli security areas. </w:t>
      </w:r>
    </w:p>
    <w:p w:rsidR="00F51547" w:rsidRPr="00CA0F4B" w:rsidRDefault="00F51547" w:rsidP="000F68ED">
      <w:pPr>
        <w:bidi w:val="0"/>
        <w:jc w:val="both"/>
        <w:rPr>
          <w:sz w:val="14"/>
          <w:szCs w:val="14"/>
        </w:rPr>
      </w:pPr>
    </w:p>
    <w:p w:rsidR="00942A84" w:rsidRPr="0021167D" w:rsidRDefault="00942A84" w:rsidP="00AA6F2F">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t>Population Density (persons / km</w:t>
      </w:r>
      <w:r w:rsidR="00AA6F2F" w:rsidRPr="004443A4">
        <w:rPr>
          <w:rFonts w:ascii="Bookman Old Style" w:hAnsi="Bookman Old Style" w:cs="Traditional Arabic"/>
          <w:sz w:val="19"/>
          <w:szCs w:val="19"/>
        </w:rPr>
        <w:t>²</w:t>
      </w:r>
      <w:r w:rsidRPr="0021167D">
        <w:rPr>
          <w:rFonts w:ascii="Bookman Old Style" w:hAnsi="Bookman Old Style" w:cs="Traditional Arabic"/>
          <w:sz w:val="18"/>
          <w:szCs w:val="18"/>
        </w:rPr>
        <w:t>) in the Palestinian Territory, Selected Years</w:t>
      </w:r>
    </w:p>
    <w:p w:rsidR="009031FB" w:rsidRDefault="003C5437" w:rsidP="000F68ED">
      <w:pPr>
        <w:bidi w:val="0"/>
        <w:jc w:val="center"/>
        <w:outlineLvl w:val="0"/>
        <w:rPr>
          <w:sz w:val="20"/>
          <w:rtl/>
        </w:rPr>
      </w:pPr>
      <w:r>
        <w:rPr>
          <w:rFonts w:ascii="Bookman Old Style" w:hAnsi="Bookman Old Style"/>
          <w:b/>
          <w:bCs/>
          <w:shadow/>
          <w:sz w:val="20"/>
          <w:lang w:eastAsia="en-US"/>
        </w:rPr>
        <w:drawing>
          <wp:inline distT="0" distB="0" distL="0" distR="0">
            <wp:extent cx="2900680" cy="1863725"/>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D329AA">
        <w:rPr>
          <w:rFonts w:hint="cs"/>
          <w:sz w:val="20"/>
          <w:rtl/>
        </w:rPr>
        <w:t xml:space="preserve"> </w:t>
      </w:r>
    </w:p>
    <w:p w:rsidR="006A692F" w:rsidRDefault="006A692F" w:rsidP="009D45E1">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lastRenderedPageBreak/>
        <w:t>Life expectancy in the Palestinian territory reached 72.4 in 2011 and expected to reach 73.5 in 2015 as a result of the decrease in death rates in general and the decrease of infants death rates in particular.</w:t>
      </w:r>
    </w:p>
    <w:p w:rsidR="00942A84" w:rsidRPr="00CA0F4B" w:rsidRDefault="00942A84" w:rsidP="00942A84">
      <w:pPr>
        <w:bidi w:val="0"/>
        <w:jc w:val="both"/>
        <w:rPr>
          <w:rFonts w:ascii="Bookman Old Style" w:hAnsi="Bookman Old Style" w:cs="Traditional Arabic"/>
          <w:shadow/>
          <w:color w:val="008080"/>
          <w:sz w:val="10"/>
          <w:szCs w:val="10"/>
          <w:lang w:eastAsia="en-US"/>
        </w:rPr>
      </w:pPr>
    </w:p>
    <w:p w:rsidR="00166992" w:rsidRDefault="00942A84" w:rsidP="0021167D">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t>Life Expectancy at Birth by Region and Sex</w:t>
      </w:r>
      <w:r w:rsidR="00AA6F2F">
        <w:rPr>
          <w:rFonts w:ascii="Bookman Old Style" w:hAnsi="Bookman Old Style" w:cs="Traditional Arabic"/>
          <w:sz w:val="18"/>
          <w:szCs w:val="18"/>
        </w:rPr>
        <w:t>,</w:t>
      </w:r>
    </w:p>
    <w:p w:rsidR="00AA6F2F" w:rsidRPr="00AA6F2F" w:rsidRDefault="00AA6F2F" w:rsidP="00AA6F2F">
      <w:pPr>
        <w:bidi w:val="0"/>
        <w:jc w:val="center"/>
        <w:rPr>
          <w:lang w:eastAsia="en-US"/>
        </w:rPr>
      </w:pPr>
      <w:r w:rsidRPr="00AA6F2F">
        <w:rPr>
          <w:rFonts w:ascii="Bookman Old Style" w:hAnsi="Bookman Old Style" w:cs="Traditional Arabic"/>
          <w:b/>
          <w:bCs/>
          <w:shadow/>
          <w:color w:val="008080"/>
          <w:sz w:val="18"/>
          <w:szCs w:val="18"/>
          <w:lang w:eastAsia="en-US"/>
        </w:rPr>
        <w:t>Selected</w:t>
      </w:r>
      <w:r>
        <w:rPr>
          <w:lang w:eastAsia="en-US"/>
        </w:rPr>
        <w:t xml:space="preserve"> </w:t>
      </w:r>
      <w:r w:rsidRPr="00AA6F2F">
        <w:rPr>
          <w:rFonts w:ascii="Bookman Old Style" w:hAnsi="Bookman Old Style" w:cs="Traditional Arabic"/>
          <w:b/>
          <w:bCs/>
          <w:shadow/>
          <w:color w:val="008080"/>
          <w:sz w:val="18"/>
          <w:szCs w:val="18"/>
          <w:lang w:eastAsia="en-US"/>
        </w:rPr>
        <w:t>Years</w:t>
      </w:r>
    </w:p>
    <w:p w:rsidR="00CA0F4B" w:rsidRPr="00CA0F4B" w:rsidRDefault="00CA0F4B" w:rsidP="00CA0F4B">
      <w:pPr>
        <w:bidi w:val="0"/>
        <w:rPr>
          <w:sz w:val="8"/>
          <w:szCs w:val="4"/>
          <w:lang w:eastAsia="en-US"/>
        </w:rPr>
      </w:pPr>
    </w:p>
    <w:tbl>
      <w:tblPr>
        <w:bidiVisual/>
        <w:tblW w:w="4421" w:type="dxa"/>
        <w:jc w:val="center"/>
        <w:tblBorders>
          <w:insideH w:val="single" w:sz="4" w:space="0" w:color="FFFFFF"/>
        </w:tblBorders>
        <w:tblLayout w:type="fixed"/>
        <w:tblLook w:val="0000"/>
      </w:tblPr>
      <w:tblGrid>
        <w:gridCol w:w="1077"/>
        <w:gridCol w:w="829"/>
        <w:gridCol w:w="2515"/>
      </w:tblGrid>
      <w:tr w:rsidR="00152993" w:rsidRPr="00D82DA7" w:rsidTr="00F731C4">
        <w:trPr>
          <w:trHeight w:val="227"/>
          <w:jc w:val="center"/>
        </w:trPr>
        <w:tc>
          <w:tcPr>
            <w:tcW w:w="1906" w:type="dxa"/>
            <w:gridSpan w:val="2"/>
            <w:shd w:val="clear" w:color="auto" w:fill="CDDDAC"/>
          </w:tcPr>
          <w:p w:rsidR="00152993" w:rsidRPr="00D82DA7" w:rsidRDefault="00B235B6" w:rsidP="000F68ED">
            <w:pPr>
              <w:bidi w:val="0"/>
              <w:jc w:val="center"/>
              <w:rPr>
                <w:b/>
                <w:bCs/>
                <w:color w:val="000000"/>
                <w:sz w:val="16"/>
                <w:szCs w:val="16"/>
              </w:rPr>
            </w:pPr>
            <w:r>
              <w:rPr>
                <w:b/>
                <w:bCs/>
                <w:color w:val="000000"/>
                <w:sz w:val="16"/>
                <w:szCs w:val="16"/>
              </w:rPr>
              <w:t>Year</w:t>
            </w:r>
          </w:p>
        </w:tc>
        <w:tc>
          <w:tcPr>
            <w:tcW w:w="2515" w:type="dxa"/>
            <w:vMerge w:val="restart"/>
            <w:shd w:val="clear" w:color="auto" w:fill="CDDDAC"/>
            <w:vAlign w:val="center"/>
          </w:tcPr>
          <w:p w:rsidR="00152993" w:rsidRPr="00D82DA7" w:rsidRDefault="00B235B6" w:rsidP="000F68ED">
            <w:pPr>
              <w:bidi w:val="0"/>
              <w:jc w:val="center"/>
              <w:rPr>
                <w:b/>
                <w:bCs/>
                <w:color w:val="000000"/>
                <w:sz w:val="16"/>
                <w:szCs w:val="16"/>
              </w:rPr>
            </w:pPr>
            <w:r>
              <w:rPr>
                <w:b/>
                <w:bCs/>
                <w:color w:val="000000"/>
                <w:sz w:val="16"/>
                <w:szCs w:val="16"/>
              </w:rPr>
              <w:t>Region</w:t>
            </w:r>
          </w:p>
        </w:tc>
      </w:tr>
      <w:tr w:rsidR="00152993" w:rsidRPr="00D82DA7" w:rsidTr="00F731C4">
        <w:trPr>
          <w:trHeight w:val="227"/>
          <w:jc w:val="center"/>
        </w:trPr>
        <w:tc>
          <w:tcPr>
            <w:tcW w:w="1077" w:type="dxa"/>
            <w:shd w:val="clear" w:color="auto" w:fill="CDDDAC"/>
          </w:tcPr>
          <w:p w:rsidR="00152993" w:rsidRPr="00D82DA7" w:rsidRDefault="00152993" w:rsidP="000F68ED">
            <w:pPr>
              <w:bidi w:val="0"/>
              <w:jc w:val="center"/>
              <w:rPr>
                <w:b/>
                <w:bCs/>
                <w:color w:val="000000"/>
                <w:sz w:val="16"/>
                <w:szCs w:val="16"/>
              </w:rPr>
            </w:pPr>
            <w:r w:rsidRPr="00D82DA7">
              <w:rPr>
                <w:b/>
                <w:bCs/>
                <w:color w:val="000000"/>
                <w:sz w:val="16"/>
                <w:szCs w:val="16"/>
              </w:rPr>
              <w:t>2015</w:t>
            </w:r>
          </w:p>
        </w:tc>
        <w:tc>
          <w:tcPr>
            <w:tcW w:w="829" w:type="dxa"/>
            <w:shd w:val="clear" w:color="auto" w:fill="EAF1DD"/>
          </w:tcPr>
          <w:p w:rsidR="00152993" w:rsidRPr="00D82DA7" w:rsidRDefault="00152993" w:rsidP="000F68ED">
            <w:pPr>
              <w:bidi w:val="0"/>
              <w:jc w:val="center"/>
              <w:rPr>
                <w:b/>
                <w:bCs/>
                <w:color w:val="000000"/>
                <w:sz w:val="16"/>
                <w:szCs w:val="16"/>
              </w:rPr>
            </w:pPr>
            <w:r w:rsidRPr="00D82DA7">
              <w:rPr>
                <w:b/>
                <w:bCs/>
                <w:color w:val="000000"/>
                <w:sz w:val="16"/>
                <w:szCs w:val="16"/>
              </w:rPr>
              <w:t>2011</w:t>
            </w:r>
          </w:p>
        </w:tc>
        <w:tc>
          <w:tcPr>
            <w:tcW w:w="2515" w:type="dxa"/>
            <w:vMerge/>
            <w:shd w:val="clear" w:color="auto" w:fill="CDDDAC"/>
          </w:tcPr>
          <w:p w:rsidR="00152993" w:rsidRPr="00D82DA7" w:rsidRDefault="00152993" w:rsidP="000F68ED">
            <w:pPr>
              <w:bidi w:val="0"/>
              <w:jc w:val="center"/>
              <w:rPr>
                <w:color w:val="000000"/>
                <w:sz w:val="16"/>
                <w:szCs w:val="16"/>
              </w:rPr>
            </w:pPr>
          </w:p>
        </w:tc>
      </w:tr>
      <w:tr w:rsidR="00152993" w:rsidRPr="00D82DA7" w:rsidTr="00F731C4">
        <w:trPr>
          <w:trHeight w:val="227"/>
          <w:jc w:val="center"/>
        </w:trPr>
        <w:tc>
          <w:tcPr>
            <w:tcW w:w="1077" w:type="dxa"/>
            <w:shd w:val="clear" w:color="auto" w:fill="CDDDAC"/>
          </w:tcPr>
          <w:p w:rsidR="00166992" w:rsidRPr="00D82DA7" w:rsidRDefault="00166992" w:rsidP="000F68ED">
            <w:pPr>
              <w:bidi w:val="0"/>
              <w:jc w:val="right"/>
              <w:rPr>
                <w:color w:val="000000"/>
                <w:sz w:val="16"/>
                <w:szCs w:val="16"/>
                <w:vertAlign w:val="superscript"/>
              </w:rPr>
            </w:pPr>
          </w:p>
        </w:tc>
        <w:tc>
          <w:tcPr>
            <w:tcW w:w="829" w:type="dxa"/>
            <w:shd w:val="clear" w:color="auto" w:fill="CDDDAC"/>
          </w:tcPr>
          <w:p w:rsidR="00166992" w:rsidRPr="00D82DA7" w:rsidRDefault="00166992" w:rsidP="000F68ED">
            <w:pPr>
              <w:bidi w:val="0"/>
              <w:jc w:val="right"/>
              <w:rPr>
                <w:color w:val="000000"/>
                <w:sz w:val="16"/>
                <w:szCs w:val="16"/>
              </w:rPr>
            </w:pPr>
          </w:p>
        </w:tc>
        <w:tc>
          <w:tcPr>
            <w:tcW w:w="2515" w:type="dxa"/>
            <w:shd w:val="clear" w:color="auto" w:fill="CDDDAC"/>
          </w:tcPr>
          <w:p w:rsidR="00166992" w:rsidRPr="00D82DA7" w:rsidRDefault="00B235B6" w:rsidP="00CA0F4B">
            <w:pPr>
              <w:bidi w:val="0"/>
              <w:rPr>
                <w:color w:val="000000"/>
                <w:sz w:val="16"/>
                <w:szCs w:val="16"/>
                <w:rtl/>
              </w:rPr>
            </w:pPr>
            <w:r>
              <w:rPr>
                <w:b/>
                <w:bCs/>
                <w:color w:val="000000"/>
                <w:sz w:val="16"/>
                <w:szCs w:val="16"/>
              </w:rPr>
              <w:t>Palestinian Territory</w:t>
            </w:r>
          </w:p>
        </w:tc>
      </w:tr>
      <w:tr w:rsidR="00152993" w:rsidRPr="00D82DA7" w:rsidTr="00F731C4">
        <w:trPr>
          <w:trHeight w:val="227"/>
          <w:jc w:val="center"/>
        </w:trPr>
        <w:tc>
          <w:tcPr>
            <w:tcW w:w="1077" w:type="dxa"/>
            <w:shd w:val="clear" w:color="auto" w:fill="CDDDAC"/>
          </w:tcPr>
          <w:p w:rsidR="00166992" w:rsidRPr="00D82DA7" w:rsidRDefault="00166992" w:rsidP="000F68ED">
            <w:pPr>
              <w:bidi w:val="0"/>
              <w:rPr>
                <w:color w:val="000000"/>
                <w:sz w:val="16"/>
                <w:szCs w:val="16"/>
              </w:rPr>
            </w:pPr>
            <w:r w:rsidRPr="00D82DA7">
              <w:rPr>
                <w:color w:val="000000"/>
                <w:sz w:val="16"/>
                <w:szCs w:val="16"/>
              </w:rPr>
              <w:t>72.0</w:t>
            </w:r>
          </w:p>
        </w:tc>
        <w:tc>
          <w:tcPr>
            <w:tcW w:w="829" w:type="dxa"/>
            <w:shd w:val="clear" w:color="auto" w:fill="EAF1DD"/>
          </w:tcPr>
          <w:p w:rsidR="00166992" w:rsidRPr="00D82DA7" w:rsidRDefault="00166992" w:rsidP="000F68ED">
            <w:pPr>
              <w:bidi w:val="0"/>
              <w:rPr>
                <w:color w:val="000000"/>
                <w:sz w:val="16"/>
                <w:szCs w:val="16"/>
              </w:rPr>
            </w:pPr>
            <w:r w:rsidRPr="00D82DA7">
              <w:rPr>
                <w:color w:val="000000"/>
                <w:sz w:val="16"/>
                <w:szCs w:val="16"/>
              </w:rPr>
              <w:t>71.0</w:t>
            </w:r>
          </w:p>
        </w:tc>
        <w:tc>
          <w:tcPr>
            <w:tcW w:w="2515" w:type="dxa"/>
            <w:shd w:val="clear" w:color="auto" w:fill="CDDDAC"/>
          </w:tcPr>
          <w:p w:rsidR="00166992" w:rsidRPr="00D82DA7" w:rsidRDefault="00C820F6" w:rsidP="00CA0F4B">
            <w:pPr>
              <w:bidi w:val="0"/>
              <w:rPr>
                <w:color w:val="000000"/>
                <w:sz w:val="16"/>
                <w:szCs w:val="16"/>
              </w:rPr>
            </w:pPr>
            <w:r>
              <w:rPr>
                <w:color w:val="000000"/>
                <w:sz w:val="16"/>
                <w:szCs w:val="16"/>
              </w:rPr>
              <w:t>Life Expectancy (Males)</w:t>
            </w:r>
          </w:p>
        </w:tc>
      </w:tr>
      <w:tr w:rsidR="00152993" w:rsidRPr="00D82DA7" w:rsidTr="00F731C4">
        <w:trPr>
          <w:trHeight w:val="227"/>
          <w:jc w:val="center"/>
        </w:trPr>
        <w:tc>
          <w:tcPr>
            <w:tcW w:w="1077" w:type="dxa"/>
            <w:shd w:val="clear" w:color="auto" w:fill="CDDDAC"/>
          </w:tcPr>
          <w:p w:rsidR="00166992" w:rsidRPr="00D82DA7" w:rsidRDefault="00166992" w:rsidP="000F68ED">
            <w:pPr>
              <w:bidi w:val="0"/>
              <w:rPr>
                <w:color w:val="000000"/>
                <w:sz w:val="16"/>
                <w:szCs w:val="16"/>
              </w:rPr>
            </w:pPr>
            <w:r w:rsidRPr="00D82DA7">
              <w:rPr>
                <w:color w:val="000000"/>
                <w:sz w:val="16"/>
                <w:szCs w:val="16"/>
              </w:rPr>
              <w:t>75.0</w:t>
            </w:r>
          </w:p>
        </w:tc>
        <w:tc>
          <w:tcPr>
            <w:tcW w:w="829" w:type="dxa"/>
            <w:shd w:val="clear" w:color="auto" w:fill="CDDDAC"/>
          </w:tcPr>
          <w:p w:rsidR="00166992" w:rsidRPr="00D82DA7" w:rsidRDefault="00166992" w:rsidP="000F68ED">
            <w:pPr>
              <w:bidi w:val="0"/>
              <w:rPr>
                <w:color w:val="000000"/>
                <w:sz w:val="16"/>
                <w:szCs w:val="16"/>
              </w:rPr>
            </w:pPr>
            <w:r w:rsidRPr="00D82DA7">
              <w:rPr>
                <w:color w:val="000000"/>
                <w:sz w:val="16"/>
                <w:szCs w:val="16"/>
              </w:rPr>
              <w:t>73.9</w:t>
            </w:r>
          </w:p>
        </w:tc>
        <w:tc>
          <w:tcPr>
            <w:tcW w:w="2515" w:type="dxa"/>
            <w:shd w:val="clear" w:color="auto" w:fill="CDDDAC"/>
          </w:tcPr>
          <w:p w:rsidR="00166992" w:rsidRPr="00D82DA7" w:rsidRDefault="00C820F6" w:rsidP="00CA0F4B">
            <w:pPr>
              <w:bidi w:val="0"/>
              <w:rPr>
                <w:color w:val="000000"/>
                <w:sz w:val="16"/>
                <w:szCs w:val="16"/>
              </w:rPr>
            </w:pPr>
            <w:r>
              <w:rPr>
                <w:color w:val="000000"/>
                <w:sz w:val="16"/>
                <w:szCs w:val="16"/>
              </w:rPr>
              <w:t>Life Expectancy (Females)</w:t>
            </w:r>
          </w:p>
        </w:tc>
      </w:tr>
      <w:tr w:rsidR="00152993" w:rsidRPr="00D82DA7" w:rsidTr="00F731C4">
        <w:trPr>
          <w:trHeight w:val="227"/>
          <w:jc w:val="center"/>
        </w:trPr>
        <w:tc>
          <w:tcPr>
            <w:tcW w:w="1077" w:type="dxa"/>
            <w:shd w:val="clear" w:color="auto" w:fill="CDDDAC"/>
          </w:tcPr>
          <w:p w:rsidR="00166992" w:rsidRPr="00D82DA7" w:rsidRDefault="00166992" w:rsidP="000F68ED">
            <w:pPr>
              <w:bidi w:val="0"/>
              <w:rPr>
                <w:color w:val="000000"/>
                <w:sz w:val="16"/>
                <w:szCs w:val="16"/>
              </w:rPr>
            </w:pPr>
          </w:p>
        </w:tc>
        <w:tc>
          <w:tcPr>
            <w:tcW w:w="829" w:type="dxa"/>
            <w:shd w:val="clear" w:color="auto" w:fill="EAF1DD"/>
          </w:tcPr>
          <w:p w:rsidR="00166992" w:rsidRPr="00D82DA7" w:rsidRDefault="00166992" w:rsidP="000F68ED">
            <w:pPr>
              <w:bidi w:val="0"/>
              <w:rPr>
                <w:color w:val="000000"/>
                <w:sz w:val="16"/>
                <w:szCs w:val="16"/>
              </w:rPr>
            </w:pPr>
          </w:p>
        </w:tc>
        <w:tc>
          <w:tcPr>
            <w:tcW w:w="2515" w:type="dxa"/>
            <w:shd w:val="clear" w:color="auto" w:fill="CDDDAC"/>
          </w:tcPr>
          <w:p w:rsidR="00166992" w:rsidRPr="00D82DA7" w:rsidRDefault="00B235B6" w:rsidP="00CA0F4B">
            <w:pPr>
              <w:bidi w:val="0"/>
              <w:rPr>
                <w:color w:val="000000"/>
                <w:sz w:val="16"/>
                <w:szCs w:val="16"/>
              </w:rPr>
            </w:pPr>
            <w:r>
              <w:rPr>
                <w:b/>
                <w:bCs/>
                <w:color w:val="000000"/>
                <w:sz w:val="16"/>
                <w:szCs w:val="16"/>
              </w:rPr>
              <w:t>West Bank</w:t>
            </w:r>
          </w:p>
        </w:tc>
      </w:tr>
      <w:tr w:rsidR="00C820F6" w:rsidRPr="00D82DA7" w:rsidTr="00F731C4">
        <w:trPr>
          <w:trHeight w:val="227"/>
          <w:jc w:val="center"/>
        </w:trPr>
        <w:tc>
          <w:tcPr>
            <w:tcW w:w="1077" w:type="dxa"/>
            <w:shd w:val="clear" w:color="auto" w:fill="CDDDAC"/>
          </w:tcPr>
          <w:p w:rsidR="00C820F6" w:rsidRPr="00D82DA7" w:rsidRDefault="00C820F6" w:rsidP="000F68ED">
            <w:pPr>
              <w:bidi w:val="0"/>
              <w:rPr>
                <w:color w:val="000000"/>
                <w:sz w:val="16"/>
                <w:szCs w:val="16"/>
              </w:rPr>
            </w:pPr>
            <w:r w:rsidRPr="00D82DA7">
              <w:rPr>
                <w:color w:val="000000"/>
                <w:sz w:val="16"/>
                <w:szCs w:val="16"/>
              </w:rPr>
              <w:t>72.4</w:t>
            </w:r>
          </w:p>
        </w:tc>
        <w:tc>
          <w:tcPr>
            <w:tcW w:w="829" w:type="dxa"/>
            <w:shd w:val="clear" w:color="auto" w:fill="CDDDAC"/>
          </w:tcPr>
          <w:p w:rsidR="00C820F6" w:rsidRPr="00D82DA7" w:rsidRDefault="00C820F6" w:rsidP="000F68ED">
            <w:pPr>
              <w:bidi w:val="0"/>
              <w:rPr>
                <w:color w:val="000000"/>
                <w:sz w:val="16"/>
                <w:szCs w:val="16"/>
              </w:rPr>
            </w:pPr>
            <w:r w:rsidRPr="00D82DA7">
              <w:rPr>
                <w:color w:val="000000"/>
                <w:sz w:val="16"/>
                <w:szCs w:val="16"/>
              </w:rPr>
              <w:t>71.4</w:t>
            </w:r>
          </w:p>
        </w:tc>
        <w:tc>
          <w:tcPr>
            <w:tcW w:w="2515" w:type="dxa"/>
            <w:shd w:val="clear" w:color="auto" w:fill="CDDDAC"/>
          </w:tcPr>
          <w:p w:rsidR="00C820F6" w:rsidRPr="00D82DA7" w:rsidRDefault="00C820F6" w:rsidP="00CA0F4B">
            <w:pPr>
              <w:bidi w:val="0"/>
              <w:rPr>
                <w:color w:val="000000"/>
                <w:sz w:val="16"/>
                <w:szCs w:val="16"/>
              </w:rPr>
            </w:pPr>
            <w:r>
              <w:rPr>
                <w:color w:val="000000"/>
                <w:sz w:val="16"/>
                <w:szCs w:val="16"/>
              </w:rPr>
              <w:t>Life Expectancy (Males)</w:t>
            </w:r>
          </w:p>
        </w:tc>
      </w:tr>
      <w:tr w:rsidR="00C820F6" w:rsidRPr="00D82DA7" w:rsidTr="00F731C4">
        <w:trPr>
          <w:trHeight w:val="227"/>
          <w:jc w:val="center"/>
        </w:trPr>
        <w:tc>
          <w:tcPr>
            <w:tcW w:w="1077" w:type="dxa"/>
            <w:shd w:val="clear" w:color="auto" w:fill="CDDDAC"/>
          </w:tcPr>
          <w:p w:rsidR="00C820F6" w:rsidRPr="00D82DA7" w:rsidRDefault="00C820F6" w:rsidP="000F68ED">
            <w:pPr>
              <w:bidi w:val="0"/>
              <w:rPr>
                <w:color w:val="000000"/>
                <w:sz w:val="16"/>
                <w:szCs w:val="16"/>
              </w:rPr>
            </w:pPr>
            <w:r w:rsidRPr="00D82DA7">
              <w:rPr>
                <w:color w:val="000000"/>
                <w:sz w:val="16"/>
                <w:szCs w:val="16"/>
              </w:rPr>
              <w:t>75.3</w:t>
            </w:r>
          </w:p>
        </w:tc>
        <w:tc>
          <w:tcPr>
            <w:tcW w:w="829" w:type="dxa"/>
            <w:shd w:val="clear" w:color="auto" w:fill="EAF1DD"/>
          </w:tcPr>
          <w:p w:rsidR="00C820F6" w:rsidRPr="00D82DA7" w:rsidRDefault="00C820F6" w:rsidP="000F68ED">
            <w:pPr>
              <w:bidi w:val="0"/>
              <w:rPr>
                <w:color w:val="000000"/>
                <w:sz w:val="16"/>
                <w:szCs w:val="16"/>
              </w:rPr>
            </w:pPr>
            <w:r w:rsidRPr="00D82DA7">
              <w:rPr>
                <w:color w:val="000000"/>
                <w:sz w:val="16"/>
                <w:szCs w:val="16"/>
              </w:rPr>
              <w:t>74.3</w:t>
            </w:r>
          </w:p>
        </w:tc>
        <w:tc>
          <w:tcPr>
            <w:tcW w:w="2515" w:type="dxa"/>
            <w:shd w:val="clear" w:color="auto" w:fill="CDDDAC"/>
          </w:tcPr>
          <w:p w:rsidR="00C820F6" w:rsidRPr="00D82DA7" w:rsidRDefault="00C820F6" w:rsidP="00CA0F4B">
            <w:pPr>
              <w:bidi w:val="0"/>
              <w:rPr>
                <w:color w:val="000000"/>
                <w:sz w:val="16"/>
                <w:szCs w:val="16"/>
              </w:rPr>
            </w:pPr>
            <w:r>
              <w:rPr>
                <w:color w:val="000000"/>
                <w:sz w:val="16"/>
                <w:szCs w:val="16"/>
              </w:rPr>
              <w:t>Life Expectancy (Females)</w:t>
            </w:r>
          </w:p>
        </w:tc>
      </w:tr>
      <w:tr w:rsidR="00152993" w:rsidRPr="00D82DA7" w:rsidTr="00F731C4">
        <w:trPr>
          <w:trHeight w:val="227"/>
          <w:jc w:val="center"/>
        </w:trPr>
        <w:tc>
          <w:tcPr>
            <w:tcW w:w="1077" w:type="dxa"/>
            <w:shd w:val="clear" w:color="auto" w:fill="CDDDAC"/>
          </w:tcPr>
          <w:p w:rsidR="00166992" w:rsidRPr="00D82DA7" w:rsidRDefault="00166992" w:rsidP="000F68ED">
            <w:pPr>
              <w:bidi w:val="0"/>
              <w:rPr>
                <w:color w:val="000000"/>
                <w:sz w:val="16"/>
                <w:szCs w:val="16"/>
              </w:rPr>
            </w:pPr>
          </w:p>
        </w:tc>
        <w:tc>
          <w:tcPr>
            <w:tcW w:w="829" w:type="dxa"/>
            <w:shd w:val="clear" w:color="auto" w:fill="CDDDAC"/>
          </w:tcPr>
          <w:p w:rsidR="00166992" w:rsidRPr="00D82DA7" w:rsidRDefault="00166992" w:rsidP="000F68ED">
            <w:pPr>
              <w:bidi w:val="0"/>
              <w:rPr>
                <w:color w:val="000000"/>
                <w:sz w:val="16"/>
                <w:szCs w:val="16"/>
              </w:rPr>
            </w:pPr>
          </w:p>
        </w:tc>
        <w:tc>
          <w:tcPr>
            <w:tcW w:w="2515" w:type="dxa"/>
            <w:shd w:val="clear" w:color="auto" w:fill="CDDDAC"/>
          </w:tcPr>
          <w:p w:rsidR="00166992" w:rsidRPr="00D82DA7" w:rsidRDefault="00B235B6" w:rsidP="00CA0F4B">
            <w:pPr>
              <w:bidi w:val="0"/>
              <w:rPr>
                <w:color w:val="000000"/>
                <w:sz w:val="16"/>
                <w:szCs w:val="16"/>
              </w:rPr>
            </w:pPr>
            <w:r>
              <w:rPr>
                <w:b/>
                <w:bCs/>
                <w:color w:val="000000"/>
                <w:sz w:val="16"/>
                <w:szCs w:val="16"/>
              </w:rPr>
              <w:t>Gaza Strip</w:t>
            </w:r>
          </w:p>
        </w:tc>
      </w:tr>
      <w:tr w:rsidR="00C820F6" w:rsidRPr="00D82DA7" w:rsidTr="00F731C4">
        <w:trPr>
          <w:trHeight w:val="227"/>
          <w:jc w:val="center"/>
        </w:trPr>
        <w:tc>
          <w:tcPr>
            <w:tcW w:w="1077" w:type="dxa"/>
            <w:shd w:val="clear" w:color="auto" w:fill="CDDDAC"/>
          </w:tcPr>
          <w:p w:rsidR="00C820F6" w:rsidRPr="00D82DA7" w:rsidRDefault="00C820F6" w:rsidP="000F68ED">
            <w:pPr>
              <w:bidi w:val="0"/>
              <w:rPr>
                <w:color w:val="000000"/>
                <w:sz w:val="16"/>
                <w:szCs w:val="16"/>
              </w:rPr>
            </w:pPr>
            <w:r w:rsidRPr="00D82DA7">
              <w:rPr>
                <w:color w:val="000000"/>
                <w:sz w:val="16"/>
                <w:szCs w:val="16"/>
              </w:rPr>
              <w:t>71.5</w:t>
            </w:r>
          </w:p>
        </w:tc>
        <w:tc>
          <w:tcPr>
            <w:tcW w:w="829" w:type="dxa"/>
            <w:shd w:val="clear" w:color="auto" w:fill="EAF1DD"/>
          </w:tcPr>
          <w:p w:rsidR="00C820F6" w:rsidRPr="00D82DA7" w:rsidRDefault="00C820F6" w:rsidP="000F68ED">
            <w:pPr>
              <w:bidi w:val="0"/>
              <w:rPr>
                <w:color w:val="000000"/>
                <w:sz w:val="16"/>
                <w:szCs w:val="16"/>
              </w:rPr>
            </w:pPr>
            <w:r w:rsidRPr="00D82DA7">
              <w:rPr>
                <w:color w:val="000000"/>
                <w:sz w:val="16"/>
                <w:szCs w:val="16"/>
              </w:rPr>
              <w:t>70.5</w:t>
            </w:r>
          </w:p>
        </w:tc>
        <w:tc>
          <w:tcPr>
            <w:tcW w:w="2515" w:type="dxa"/>
            <w:shd w:val="clear" w:color="auto" w:fill="CDDDAC"/>
          </w:tcPr>
          <w:p w:rsidR="00C820F6" w:rsidRPr="00D82DA7" w:rsidRDefault="00C820F6" w:rsidP="00CA0F4B">
            <w:pPr>
              <w:bidi w:val="0"/>
              <w:rPr>
                <w:color w:val="000000"/>
                <w:sz w:val="16"/>
                <w:szCs w:val="16"/>
              </w:rPr>
            </w:pPr>
            <w:r>
              <w:rPr>
                <w:color w:val="000000"/>
                <w:sz w:val="16"/>
                <w:szCs w:val="16"/>
              </w:rPr>
              <w:t>Life Expectancy (Males)</w:t>
            </w:r>
          </w:p>
        </w:tc>
      </w:tr>
      <w:tr w:rsidR="00C820F6" w:rsidRPr="00D82DA7" w:rsidTr="00F731C4">
        <w:trPr>
          <w:trHeight w:val="227"/>
          <w:jc w:val="center"/>
        </w:trPr>
        <w:tc>
          <w:tcPr>
            <w:tcW w:w="1077" w:type="dxa"/>
            <w:shd w:val="clear" w:color="auto" w:fill="CDDDAC"/>
          </w:tcPr>
          <w:p w:rsidR="00C820F6" w:rsidRPr="00D82DA7" w:rsidRDefault="00C820F6" w:rsidP="000F68ED">
            <w:pPr>
              <w:bidi w:val="0"/>
              <w:rPr>
                <w:color w:val="000000"/>
                <w:sz w:val="16"/>
                <w:szCs w:val="16"/>
              </w:rPr>
            </w:pPr>
            <w:r w:rsidRPr="00D82DA7">
              <w:rPr>
                <w:color w:val="000000"/>
                <w:sz w:val="16"/>
                <w:szCs w:val="16"/>
              </w:rPr>
              <w:t>74.4</w:t>
            </w:r>
          </w:p>
        </w:tc>
        <w:tc>
          <w:tcPr>
            <w:tcW w:w="829" w:type="dxa"/>
            <w:shd w:val="clear" w:color="auto" w:fill="CDDDAC"/>
          </w:tcPr>
          <w:p w:rsidR="00C820F6" w:rsidRPr="00D82DA7" w:rsidRDefault="00C820F6" w:rsidP="000F68ED">
            <w:pPr>
              <w:bidi w:val="0"/>
              <w:rPr>
                <w:color w:val="000000"/>
                <w:sz w:val="16"/>
                <w:szCs w:val="16"/>
              </w:rPr>
            </w:pPr>
            <w:r w:rsidRPr="00D82DA7">
              <w:rPr>
                <w:color w:val="000000"/>
                <w:sz w:val="16"/>
                <w:szCs w:val="16"/>
              </w:rPr>
              <w:t>73.2</w:t>
            </w:r>
          </w:p>
        </w:tc>
        <w:tc>
          <w:tcPr>
            <w:tcW w:w="2515" w:type="dxa"/>
            <w:shd w:val="clear" w:color="auto" w:fill="CDDDAC"/>
          </w:tcPr>
          <w:p w:rsidR="00C820F6" w:rsidRPr="00D82DA7" w:rsidRDefault="00C820F6" w:rsidP="00CA0F4B">
            <w:pPr>
              <w:bidi w:val="0"/>
              <w:rPr>
                <w:color w:val="000000"/>
                <w:sz w:val="16"/>
                <w:szCs w:val="16"/>
              </w:rPr>
            </w:pPr>
            <w:r>
              <w:rPr>
                <w:color w:val="000000"/>
                <w:sz w:val="16"/>
                <w:szCs w:val="16"/>
              </w:rPr>
              <w:t>Life Expectancy (Females)</w:t>
            </w:r>
          </w:p>
        </w:tc>
      </w:tr>
    </w:tbl>
    <w:p w:rsidR="00166992" w:rsidRPr="00CA0F4B" w:rsidRDefault="00166992" w:rsidP="000F68ED">
      <w:pPr>
        <w:bidi w:val="0"/>
        <w:jc w:val="center"/>
        <w:rPr>
          <w:rFonts w:ascii="Tahoma" w:hAnsi="Tahoma" w:cs="Monotype Koufi"/>
          <w:shadow/>
          <w:color w:val="000000"/>
          <w:sz w:val="10"/>
          <w:szCs w:val="10"/>
          <w:rtl/>
          <w:lang w:eastAsia="en-US"/>
        </w:rPr>
      </w:pPr>
    </w:p>
    <w:p w:rsidR="0021167D" w:rsidRDefault="006A692F" w:rsidP="00AA6F2F">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There is an obvious difference concerning population median age between West Bank and Gaza Strip during the period 201</w:t>
      </w:r>
      <w:r w:rsidR="00AA6F2F">
        <w:rPr>
          <w:rFonts w:ascii="Bookman Old Style" w:hAnsi="Bookman Old Style" w:cs="Traditional Arabic"/>
          <w:shadow/>
          <w:color w:val="008080"/>
          <w:sz w:val="20"/>
          <w:lang w:eastAsia="en-US"/>
        </w:rPr>
        <w:t>1</w:t>
      </w:r>
      <w:r w:rsidRPr="009D45E1">
        <w:rPr>
          <w:rFonts w:ascii="Bookman Old Style" w:hAnsi="Bookman Old Style" w:cs="Traditional Arabic"/>
          <w:shadow/>
          <w:color w:val="008080"/>
          <w:sz w:val="20"/>
          <w:lang w:eastAsia="en-US"/>
        </w:rPr>
        <w:t xml:space="preserve">-2025. </w:t>
      </w:r>
    </w:p>
    <w:p w:rsidR="006A692F" w:rsidRPr="009D45E1" w:rsidRDefault="006A692F" w:rsidP="0021167D">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 xml:space="preserve">   </w:t>
      </w:r>
    </w:p>
    <w:p w:rsidR="00942A84" w:rsidRPr="0021167D" w:rsidRDefault="00AA6F2F" w:rsidP="00AA6F2F">
      <w:pPr>
        <w:pStyle w:val="Heading1"/>
        <w:bidi w:val="0"/>
        <w:rPr>
          <w:rFonts w:ascii="Bookman Old Style" w:hAnsi="Bookman Old Style" w:cs="Traditional Arabic"/>
          <w:sz w:val="18"/>
          <w:szCs w:val="18"/>
        </w:rPr>
      </w:pPr>
      <w:r>
        <w:rPr>
          <w:rFonts w:ascii="Bookman Old Style" w:hAnsi="Bookman Old Style" w:cs="Traditional Arabic"/>
          <w:sz w:val="18"/>
          <w:szCs w:val="18"/>
        </w:rPr>
        <w:t>Expected</w:t>
      </w:r>
      <w:r w:rsidR="00942A84" w:rsidRPr="0021167D">
        <w:rPr>
          <w:rFonts w:ascii="Bookman Old Style" w:hAnsi="Bookman Old Style" w:cs="Traditional Arabic"/>
          <w:sz w:val="18"/>
          <w:szCs w:val="18"/>
        </w:rPr>
        <w:t xml:space="preserve"> Median Age in the Palestinian Territory by Region, 201</w:t>
      </w:r>
      <w:r>
        <w:rPr>
          <w:rFonts w:ascii="Bookman Old Style" w:hAnsi="Bookman Old Style" w:cs="Traditional Arabic"/>
          <w:sz w:val="18"/>
          <w:szCs w:val="18"/>
        </w:rPr>
        <w:t>1</w:t>
      </w:r>
      <w:r w:rsidR="00942A84" w:rsidRPr="0021167D">
        <w:rPr>
          <w:rFonts w:ascii="Bookman Old Style" w:hAnsi="Bookman Old Style" w:cs="Traditional Arabic"/>
          <w:sz w:val="18"/>
          <w:szCs w:val="18"/>
        </w:rPr>
        <w:t>-2025</w:t>
      </w:r>
    </w:p>
    <w:p w:rsidR="002809D4" w:rsidRDefault="003C5437" w:rsidP="000F68ED">
      <w:pPr>
        <w:bidi w:val="0"/>
        <w:jc w:val="lowKashida"/>
        <w:outlineLvl w:val="0"/>
        <w:rPr>
          <w:rFonts w:ascii="Bookman Old Style" w:hAnsi="Bookman Old Style"/>
          <w:b/>
          <w:bCs/>
          <w:shadow/>
          <w:color w:val="0000FF"/>
          <w:sz w:val="20"/>
          <w:rtl/>
          <w:lang w:eastAsia="en-US"/>
        </w:rPr>
      </w:pPr>
      <w:r>
        <w:rPr>
          <w:rFonts w:ascii="Bookman Old Style" w:hAnsi="Bookman Old Style"/>
          <w:b/>
          <w:bCs/>
          <w:shadow/>
          <w:color w:val="0000FF"/>
          <w:sz w:val="20"/>
          <w:lang w:eastAsia="en-US"/>
        </w:rPr>
        <w:drawing>
          <wp:inline distT="0" distB="0" distL="0" distR="0">
            <wp:extent cx="2912110" cy="203835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A0F4B" w:rsidRPr="00CA0F4B" w:rsidRDefault="00CA0F4B" w:rsidP="009D45E1">
      <w:pPr>
        <w:bidi w:val="0"/>
        <w:jc w:val="both"/>
        <w:rPr>
          <w:rFonts w:ascii="Bookman Old Style" w:hAnsi="Bookman Old Style" w:cs="Traditional Arabic"/>
          <w:shadow/>
          <w:color w:val="008080"/>
          <w:sz w:val="8"/>
          <w:szCs w:val="8"/>
          <w:lang w:eastAsia="en-US"/>
        </w:rPr>
      </w:pPr>
    </w:p>
    <w:p w:rsidR="006A692F" w:rsidRDefault="006A692F" w:rsidP="00CA0F4B">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 xml:space="preserve">Fertility rates in the Palestinian territory are considered high comparing to the current prevailing rates in other countries. Fertility rates are high due to early marriage, especially among females and the desire to have children; in addition to habits and traditions of the Palestinian society. However, there are indicators </w:t>
      </w:r>
      <w:r w:rsidRPr="009D45E1">
        <w:rPr>
          <w:rFonts w:ascii="Bookman Old Style" w:hAnsi="Bookman Old Style" w:cs="Traditional Arabic"/>
          <w:shadow/>
          <w:color w:val="008080"/>
          <w:sz w:val="20"/>
          <w:lang w:eastAsia="en-US"/>
        </w:rPr>
        <w:lastRenderedPageBreak/>
        <w:t xml:space="preserve">which indicate that fertility rates started to decrease since last decade of the last century. </w:t>
      </w:r>
    </w:p>
    <w:p w:rsidR="00CA0F4B" w:rsidRPr="009D45E1" w:rsidRDefault="00CA0F4B" w:rsidP="00CA0F4B">
      <w:pPr>
        <w:bidi w:val="0"/>
        <w:jc w:val="both"/>
        <w:rPr>
          <w:rFonts w:ascii="Bookman Old Style" w:hAnsi="Bookman Old Style" w:cs="Traditional Arabic"/>
          <w:shadow/>
          <w:color w:val="008080"/>
          <w:sz w:val="20"/>
          <w:lang w:eastAsia="en-US"/>
        </w:rPr>
      </w:pPr>
    </w:p>
    <w:p w:rsidR="009733A1" w:rsidRPr="0021167D" w:rsidRDefault="009733A1" w:rsidP="0021167D">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t>Total Fertility Rates in the Palestinian Territory by Region for Selected Years</w:t>
      </w:r>
    </w:p>
    <w:p w:rsidR="00192ACC" w:rsidRDefault="00192ACC" w:rsidP="000F68ED">
      <w:pPr>
        <w:bidi w:val="0"/>
        <w:jc w:val="both"/>
        <w:rPr>
          <w:rFonts w:ascii="Tahoma" w:hAnsi="Tahoma" w:cs="Monotype Koufi"/>
          <w:b/>
        </w:rPr>
      </w:pPr>
    </w:p>
    <w:p w:rsidR="006A692F" w:rsidRPr="009D45E1" w:rsidRDefault="003C5437" w:rsidP="009D45E1">
      <w:pPr>
        <w:bidi w:val="0"/>
        <w:jc w:val="both"/>
        <w:rPr>
          <w:rFonts w:ascii="Bookman Old Style" w:hAnsi="Bookman Old Style" w:cs="Traditional Arabic"/>
          <w:shadow/>
          <w:color w:val="008080"/>
          <w:sz w:val="20"/>
          <w:lang w:eastAsia="en-US"/>
        </w:rPr>
      </w:pPr>
      <w:r>
        <w:rPr>
          <w:rFonts w:ascii="Tahoma" w:hAnsi="Tahoma" w:cs="Monotype Koufi"/>
          <w:b/>
          <w:lang w:eastAsia="en-US"/>
        </w:rPr>
        <w:drawing>
          <wp:inline distT="0" distB="0" distL="0" distR="0">
            <wp:extent cx="3022600" cy="2324100"/>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192ACC">
        <w:rPr>
          <w:rFonts w:ascii="Tahoma" w:hAnsi="Tahoma" w:cs="Monotype Koufi" w:hint="cs"/>
          <w:b/>
          <w:rtl/>
        </w:rPr>
        <w:t xml:space="preserve"> </w:t>
      </w:r>
      <w:r w:rsidR="006A692F" w:rsidRPr="009D45E1">
        <w:rPr>
          <w:rFonts w:ascii="Bookman Old Style" w:hAnsi="Bookman Old Style" w:cs="Traditional Arabic"/>
          <w:shadow/>
          <w:color w:val="008080"/>
          <w:sz w:val="20"/>
          <w:lang w:eastAsia="en-US"/>
        </w:rPr>
        <w:t xml:space="preserve">Data of 2010 indicated that the percentage of smokers aged 18 and over in the Palestinian territory reached 22.5% comparing to 28.0% in 2000. </w:t>
      </w:r>
    </w:p>
    <w:p w:rsidR="0029077B" w:rsidRPr="00E62C16" w:rsidRDefault="0029077B" w:rsidP="006A692F">
      <w:pPr>
        <w:bidi w:val="0"/>
        <w:jc w:val="both"/>
        <w:rPr>
          <w:sz w:val="6"/>
          <w:szCs w:val="6"/>
          <w:rtl/>
        </w:rPr>
      </w:pPr>
    </w:p>
    <w:p w:rsidR="009733A1" w:rsidRPr="0021167D" w:rsidRDefault="009733A1" w:rsidP="0021167D">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t>Percentage of Smokers Persons 18 years and over by Region, 2000, 2006.2010</w:t>
      </w:r>
    </w:p>
    <w:p w:rsidR="00E62C16" w:rsidRDefault="003C5437" w:rsidP="000F68ED">
      <w:pPr>
        <w:bidi w:val="0"/>
        <w:ind w:left="73"/>
        <w:jc w:val="center"/>
        <w:rPr>
          <w:rFonts w:ascii="Tahoma" w:hAnsi="Tahoma" w:cs="Monotype Koufi"/>
          <w:shadow/>
          <w:color w:val="000000"/>
          <w:sz w:val="18"/>
          <w:szCs w:val="18"/>
          <w:rtl/>
          <w:lang w:eastAsia="en-US"/>
        </w:rPr>
      </w:pPr>
      <w:r>
        <w:rPr>
          <w:lang w:eastAsia="en-US"/>
        </w:rPr>
        <w:drawing>
          <wp:inline distT="0" distB="0" distL="0" distR="0">
            <wp:extent cx="3174365" cy="2061845"/>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A692F" w:rsidRPr="009D45E1" w:rsidRDefault="006A692F" w:rsidP="009D45E1">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 xml:space="preserve">Data of 2010 indicated that 52.5% of females aged 15-49 in the Palestinian territory use family planning tool, where it was 51.4% in 2000. </w:t>
      </w:r>
    </w:p>
    <w:p w:rsidR="00E62C16" w:rsidRPr="00E62C16" w:rsidRDefault="00E62C16" w:rsidP="000F68ED">
      <w:pPr>
        <w:bidi w:val="0"/>
        <w:jc w:val="both"/>
        <w:rPr>
          <w:sz w:val="10"/>
          <w:szCs w:val="10"/>
          <w:rtl/>
        </w:rPr>
      </w:pPr>
    </w:p>
    <w:p w:rsidR="00CC655F" w:rsidRPr="0021167D" w:rsidRDefault="00CC655F" w:rsidP="0021167D">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lastRenderedPageBreak/>
        <w:t>Prevalence of the Use of Family Planning Methods by Region, 2000, 2006,2010</w:t>
      </w:r>
    </w:p>
    <w:p w:rsidR="006A692F" w:rsidRPr="009D45E1" w:rsidRDefault="003C5437" w:rsidP="009733A1">
      <w:pPr>
        <w:bidi w:val="0"/>
        <w:jc w:val="both"/>
        <w:rPr>
          <w:rFonts w:ascii="Bookman Old Style" w:hAnsi="Bookman Old Style" w:cs="Traditional Arabic"/>
          <w:shadow/>
          <w:color w:val="008080"/>
          <w:sz w:val="20"/>
          <w:lang w:eastAsia="en-US"/>
        </w:rPr>
      </w:pPr>
      <w:r>
        <w:rPr>
          <w:b/>
          <w:bCs/>
          <w:color w:val="000000"/>
          <w:sz w:val="22"/>
          <w:szCs w:val="22"/>
          <w:lang w:eastAsia="en-US"/>
        </w:rPr>
        <w:drawing>
          <wp:inline distT="0" distB="0" distL="0" distR="0">
            <wp:extent cx="3145155" cy="2312035"/>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E62C16" w:rsidRPr="00E62C16">
        <w:rPr>
          <w:rFonts w:hint="cs"/>
          <w:sz w:val="20"/>
          <w:rtl/>
        </w:rPr>
        <w:t xml:space="preserve"> </w:t>
      </w:r>
      <w:r w:rsidR="006A692F" w:rsidRPr="009D45E1">
        <w:rPr>
          <w:rFonts w:ascii="Bookman Old Style" w:hAnsi="Bookman Old Style" w:cs="Traditional Arabic"/>
          <w:shadow/>
          <w:color w:val="008080"/>
          <w:sz w:val="20"/>
          <w:lang w:eastAsia="en-US"/>
        </w:rPr>
        <w:t xml:space="preserve">Percentage of women participation in the labor force increased from 11.2% in 1995 to 14.7% in 2010; while the percentage of men participation in the labor force almost stayed in the same level 66.9% in 1995 and 66.8% in 2010. </w:t>
      </w:r>
    </w:p>
    <w:p w:rsidR="005459A2" w:rsidRPr="005459A2" w:rsidRDefault="005459A2" w:rsidP="000F68ED">
      <w:pPr>
        <w:bidi w:val="0"/>
        <w:jc w:val="both"/>
        <w:rPr>
          <w:b/>
          <w:bCs/>
          <w:color w:val="000000"/>
          <w:sz w:val="16"/>
          <w:szCs w:val="16"/>
          <w:rtl/>
        </w:rPr>
      </w:pPr>
    </w:p>
    <w:p w:rsidR="00BA5850" w:rsidRPr="0021167D" w:rsidRDefault="00BA5850" w:rsidP="004F32F4">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t xml:space="preserve">Labor </w:t>
      </w:r>
      <w:r w:rsidR="004F32F4">
        <w:rPr>
          <w:rFonts w:ascii="Bookman Old Style" w:hAnsi="Bookman Old Style" w:cs="Traditional Arabic"/>
          <w:sz w:val="18"/>
          <w:szCs w:val="18"/>
        </w:rPr>
        <w:t>F</w:t>
      </w:r>
      <w:r w:rsidRPr="0021167D">
        <w:rPr>
          <w:rFonts w:ascii="Bookman Old Style" w:hAnsi="Bookman Old Style" w:cs="Traditional Arabic"/>
          <w:sz w:val="18"/>
          <w:szCs w:val="18"/>
        </w:rPr>
        <w:t xml:space="preserve">orce Participation Rate Among Individuals 15 years and over in the Palestinian Territory by </w:t>
      </w:r>
      <w:r w:rsidR="004F32F4">
        <w:rPr>
          <w:rFonts w:ascii="Bookman Old Style" w:hAnsi="Bookman Old Style" w:cs="Traditional Arabic"/>
          <w:sz w:val="18"/>
          <w:szCs w:val="18"/>
        </w:rPr>
        <w:t>S</w:t>
      </w:r>
      <w:r w:rsidRPr="0021167D">
        <w:rPr>
          <w:rFonts w:ascii="Bookman Old Style" w:hAnsi="Bookman Old Style" w:cs="Traditional Arabic"/>
          <w:sz w:val="18"/>
          <w:szCs w:val="18"/>
        </w:rPr>
        <w:t xml:space="preserve">ex, </w:t>
      </w:r>
      <w:r w:rsidR="004F32F4">
        <w:rPr>
          <w:rFonts w:ascii="Bookman Old Style" w:hAnsi="Bookman Old Style" w:cs="Traditional Arabic"/>
          <w:sz w:val="18"/>
          <w:szCs w:val="18"/>
        </w:rPr>
        <w:t>S</w:t>
      </w:r>
      <w:r w:rsidRPr="0021167D">
        <w:rPr>
          <w:rFonts w:ascii="Bookman Old Style" w:hAnsi="Bookman Old Style" w:cs="Traditional Arabic"/>
          <w:sz w:val="18"/>
          <w:szCs w:val="18"/>
        </w:rPr>
        <w:t xml:space="preserve">elected </w:t>
      </w:r>
      <w:r w:rsidR="004F32F4">
        <w:rPr>
          <w:rFonts w:ascii="Bookman Old Style" w:hAnsi="Bookman Old Style" w:cs="Traditional Arabic"/>
          <w:sz w:val="18"/>
          <w:szCs w:val="18"/>
        </w:rPr>
        <w:t>Y</w:t>
      </w:r>
      <w:r w:rsidRPr="0021167D">
        <w:rPr>
          <w:rFonts w:ascii="Bookman Old Style" w:hAnsi="Bookman Old Style" w:cs="Traditional Arabic"/>
          <w:sz w:val="18"/>
          <w:szCs w:val="18"/>
        </w:rPr>
        <w:t>ears</w:t>
      </w:r>
    </w:p>
    <w:p w:rsidR="00C32736" w:rsidRDefault="003C5437" w:rsidP="000F68ED">
      <w:pPr>
        <w:bidi w:val="0"/>
        <w:jc w:val="lowKashida"/>
        <w:outlineLvl w:val="0"/>
        <w:rPr>
          <w:rFonts w:ascii="Bookman Old Style" w:hAnsi="Bookman Old Style"/>
          <w:b/>
          <w:bCs/>
          <w:shadow/>
          <w:color w:val="0000FF"/>
          <w:sz w:val="20"/>
          <w:rtl/>
          <w:lang w:eastAsia="en-US"/>
        </w:rPr>
      </w:pPr>
      <w:r>
        <w:rPr>
          <w:rFonts w:ascii="Bookman Old Style" w:hAnsi="Bookman Old Style"/>
          <w:b/>
          <w:bCs/>
          <w:shadow/>
          <w:color w:val="0000FF"/>
          <w:sz w:val="20"/>
          <w:lang w:eastAsia="en-US"/>
        </w:rPr>
        <w:drawing>
          <wp:inline distT="0" distB="0" distL="0" distR="0">
            <wp:extent cx="2970530" cy="2160905"/>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A692F" w:rsidRPr="009D45E1" w:rsidRDefault="006A692F" w:rsidP="00CA0F4B">
      <w:pPr>
        <w:bidi w:val="0"/>
        <w:jc w:val="both"/>
        <w:rPr>
          <w:rFonts w:ascii="Bookman Old Style" w:hAnsi="Bookman Old Style" w:cs="Traditional Arabic"/>
          <w:shadow/>
          <w:color w:val="008080"/>
          <w:sz w:val="20"/>
          <w:lang w:eastAsia="en-US"/>
        </w:rPr>
      </w:pPr>
      <w:r w:rsidRPr="009D45E1">
        <w:rPr>
          <w:rFonts w:ascii="Bookman Old Style" w:hAnsi="Bookman Old Style" w:cs="Traditional Arabic"/>
          <w:shadow/>
          <w:color w:val="008080"/>
          <w:sz w:val="20"/>
          <w:lang w:eastAsia="en-US"/>
        </w:rPr>
        <w:t xml:space="preserve">There is an obvious difference between unemployment rates in West Bank and the Gaza Strip during the period 1999-2010. </w:t>
      </w:r>
    </w:p>
    <w:p w:rsidR="00E62C16" w:rsidRPr="00E62C16" w:rsidRDefault="00E62C16" w:rsidP="000F68ED">
      <w:pPr>
        <w:bidi w:val="0"/>
        <w:jc w:val="both"/>
        <w:rPr>
          <w:sz w:val="12"/>
          <w:szCs w:val="12"/>
        </w:rPr>
      </w:pPr>
    </w:p>
    <w:p w:rsidR="00BA5850" w:rsidRPr="0021167D" w:rsidRDefault="00BA5850" w:rsidP="004F32F4">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lastRenderedPageBreak/>
        <w:t xml:space="preserve">Unemployment </w:t>
      </w:r>
      <w:r w:rsidR="004F32F4">
        <w:rPr>
          <w:rFonts w:ascii="Bookman Old Style" w:hAnsi="Bookman Old Style" w:cs="Traditional Arabic"/>
          <w:sz w:val="18"/>
          <w:szCs w:val="18"/>
        </w:rPr>
        <w:t>R</w:t>
      </w:r>
      <w:r w:rsidRPr="0021167D">
        <w:rPr>
          <w:rFonts w:ascii="Bookman Old Style" w:hAnsi="Bookman Old Style" w:cs="Traditional Arabic"/>
          <w:sz w:val="18"/>
          <w:szCs w:val="18"/>
        </w:rPr>
        <w:t xml:space="preserve">ate </w:t>
      </w:r>
      <w:r w:rsidR="004F32F4">
        <w:rPr>
          <w:rFonts w:ascii="Bookman Old Style" w:hAnsi="Bookman Old Style" w:cs="Traditional Arabic"/>
          <w:sz w:val="18"/>
          <w:szCs w:val="18"/>
        </w:rPr>
        <w:t>A</w:t>
      </w:r>
      <w:r w:rsidRPr="0021167D">
        <w:rPr>
          <w:rFonts w:ascii="Bookman Old Style" w:hAnsi="Bookman Old Style" w:cs="Traditional Arabic"/>
          <w:sz w:val="18"/>
          <w:szCs w:val="18"/>
        </w:rPr>
        <w:t xml:space="preserve">mong </w:t>
      </w:r>
      <w:r w:rsidR="004F32F4">
        <w:rPr>
          <w:rFonts w:ascii="Bookman Old Style" w:hAnsi="Bookman Old Style" w:cs="Traditional Arabic"/>
          <w:sz w:val="18"/>
          <w:szCs w:val="18"/>
        </w:rPr>
        <w:t>I</w:t>
      </w:r>
      <w:r w:rsidRPr="0021167D">
        <w:rPr>
          <w:rFonts w:ascii="Bookman Old Style" w:hAnsi="Bookman Old Style" w:cs="Traditional Arabic"/>
          <w:sz w:val="18"/>
          <w:szCs w:val="18"/>
        </w:rPr>
        <w:t xml:space="preserve">ndividuals 15 years and over in the Palestinian Territory by </w:t>
      </w:r>
      <w:r w:rsidR="004F32F4">
        <w:rPr>
          <w:rFonts w:ascii="Bookman Old Style" w:hAnsi="Bookman Old Style" w:cs="Traditional Arabic"/>
          <w:sz w:val="18"/>
          <w:szCs w:val="18"/>
        </w:rPr>
        <w:t>R</w:t>
      </w:r>
      <w:r w:rsidRPr="0021167D">
        <w:rPr>
          <w:rFonts w:ascii="Bookman Old Style" w:hAnsi="Bookman Old Style" w:cs="Traditional Arabic"/>
          <w:sz w:val="18"/>
          <w:szCs w:val="18"/>
        </w:rPr>
        <w:t xml:space="preserve">egion, </w:t>
      </w:r>
      <w:r w:rsidR="004F32F4">
        <w:rPr>
          <w:rFonts w:ascii="Bookman Old Style" w:hAnsi="Bookman Old Style" w:cs="Traditional Arabic"/>
          <w:sz w:val="18"/>
          <w:szCs w:val="18"/>
        </w:rPr>
        <w:t>S</w:t>
      </w:r>
      <w:r w:rsidRPr="0021167D">
        <w:rPr>
          <w:rFonts w:ascii="Bookman Old Style" w:hAnsi="Bookman Old Style" w:cs="Traditional Arabic"/>
          <w:sz w:val="18"/>
          <w:szCs w:val="18"/>
        </w:rPr>
        <w:t xml:space="preserve">elected </w:t>
      </w:r>
      <w:r w:rsidR="004F32F4">
        <w:rPr>
          <w:rFonts w:ascii="Bookman Old Style" w:hAnsi="Bookman Old Style" w:cs="Traditional Arabic"/>
          <w:sz w:val="18"/>
          <w:szCs w:val="18"/>
        </w:rPr>
        <w:t>Y</w:t>
      </w:r>
      <w:r w:rsidRPr="0021167D">
        <w:rPr>
          <w:rFonts w:ascii="Bookman Old Style" w:hAnsi="Bookman Old Style" w:cs="Traditional Arabic"/>
          <w:sz w:val="18"/>
          <w:szCs w:val="18"/>
        </w:rPr>
        <w:t>ears</w:t>
      </w:r>
    </w:p>
    <w:p w:rsidR="006A692F" w:rsidRDefault="003C5437" w:rsidP="009D45E1">
      <w:pPr>
        <w:bidi w:val="0"/>
        <w:jc w:val="both"/>
        <w:rPr>
          <w:rFonts w:asciiTheme="majorBidi" w:hAnsiTheme="majorBidi" w:cstheme="majorBidi"/>
          <w:szCs w:val="24"/>
        </w:rPr>
      </w:pPr>
      <w:r>
        <w:rPr>
          <w:lang w:eastAsia="en-US"/>
        </w:rPr>
        <w:drawing>
          <wp:inline distT="0" distB="0" distL="0" distR="0">
            <wp:extent cx="3156585" cy="2148840"/>
            <wp:effectExtent l="19050" t="0" r="24765" b="381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6A692F" w:rsidRPr="009D45E1">
        <w:rPr>
          <w:rFonts w:ascii="Bookman Old Style" w:hAnsi="Bookman Old Style" w:cs="Traditional Arabic"/>
          <w:shadow/>
          <w:color w:val="008080"/>
          <w:sz w:val="20"/>
          <w:lang w:eastAsia="en-US"/>
        </w:rPr>
        <w:t xml:space="preserve"> Data indicated that there is an obvious difference</w:t>
      </w:r>
      <w:r w:rsidR="006A692F">
        <w:rPr>
          <w:rFonts w:asciiTheme="majorBidi" w:hAnsiTheme="majorBidi" w:cstheme="majorBidi"/>
          <w:szCs w:val="24"/>
        </w:rPr>
        <w:t xml:space="preserve"> </w:t>
      </w:r>
      <w:r w:rsidR="006A692F" w:rsidRPr="009D45E1">
        <w:rPr>
          <w:rFonts w:ascii="Bookman Old Style" w:hAnsi="Bookman Old Style" w:cs="Traditional Arabic"/>
          <w:shadow/>
          <w:color w:val="008080"/>
          <w:sz w:val="20"/>
          <w:lang w:eastAsia="en-US"/>
        </w:rPr>
        <w:t xml:space="preserve">in the rates of poverty gap and level between West Bank and Gaza Strip. Poor families in Gaza Strip are poorer than poor families in West Bank. It is worth mentioning that poverty gap is the measure of total gap size between poor people consumption and poverty line (relative poverty line) which is the total requested sums to raise consumption levels of poor people to the poverty line. </w:t>
      </w:r>
    </w:p>
    <w:p w:rsidR="00E62C16" w:rsidRPr="00E62C16" w:rsidRDefault="00E62C16" w:rsidP="000F68ED">
      <w:pPr>
        <w:bidi w:val="0"/>
        <w:rPr>
          <w:sz w:val="14"/>
          <w:szCs w:val="10"/>
          <w:rtl/>
          <w:lang w:eastAsia="en-US"/>
        </w:rPr>
      </w:pPr>
    </w:p>
    <w:p w:rsidR="008D492B" w:rsidRPr="0021167D" w:rsidRDefault="008D492B" w:rsidP="004F32F4">
      <w:pPr>
        <w:pStyle w:val="Heading1"/>
        <w:bidi w:val="0"/>
        <w:rPr>
          <w:rFonts w:ascii="Bookman Old Style" w:hAnsi="Bookman Old Style" w:cs="Traditional Arabic"/>
          <w:sz w:val="18"/>
          <w:szCs w:val="18"/>
        </w:rPr>
      </w:pPr>
      <w:r w:rsidRPr="0021167D">
        <w:rPr>
          <w:rFonts w:ascii="Bookman Old Style" w:hAnsi="Bookman Old Style" w:cs="Traditional Arabic"/>
          <w:sz w:val="18"/>
          <w:szCs w:val="18"/>
        </w:rPr>
        <w:t xml:space="preserve">Rate </w:t>
      </w:r>
      <w:r w:rsidR="004F32F4">
        <w:rPr>
          <w:rFonts w:ascii="Bookman Old Style" w:hAnsi="Bookman Old Style" w:cs="Traditional Arabic"/>
          <w:sz w:val="18"/>
          <w:szCs w:val="18"/>
        </w:rPr>
        <w:t>G</w:t>
      </w:r>
      <w:r w:rsidRPr="0021167D">
        <w:rPr>
          <w:rFonts w:ascii="Bookman Old Style" w:hAnsi="Bookman Old Style" w:cs="Traditional Arabic"/>
          <w:sz w:val="18"/>
          <w:szCs w:val="18"/>
        </w:rPr>
        <w:t xml:space="preserve">ap and the </w:t>
      </w:r>
      <w:r w:rsidR="004F32F4">
        <w:rPr>
          <w:rFonts w:ascii="Bookman Old Style" w:hAnsi="Bookman Old Style" w:cs="Traditional Arabic"/>
          <w:sz w:val="18"/>
          <w:szCs w:val="18"/>
        </w:rPr>
        <w:t>S</w:t>
      </w:r>
      <w:r w:rsidRPr="0021167D">
        <w:rPr>
          <w:rFonts w:ascii="Bookman Old Style" w:hAnsi="Bookman Old Style" w:cs="Traditional Arabic"/>
          <w:sz w:val="18"/>
          <w:szCs w:val="18"/>
        </w:rPr>
        <w:t xml:space="preserve">everity of </w:t>
      </w:r>
      <w:r w:rsidR="004F32F4">
        <w:rPr>
          <w:rFonts w:ascii="Bookman Old Style" w:hAnsi="Bookman Old Style" w:cs="Traditional Arabic"/>
          <w:sz w:val="18"/>
          <w:szCs w:val="18"/>
        </w:rPr>
        <w:t>P</w:t>
      </w:r>
      <w:r w:rsidRPr="0021167D">
        <w:rPr>
          <w:rFonts w:ascii="Bookman Old Style" w:hAnsi="Bookman Old Style" w:cs="Traditional Arabic"/>
          <w:sz w:val="18"/>
          <w:szCs w:val="18"/>
        </w:rPr>
        <w:t xml:space="preserve">overty </w:t>
      </w:r>
      <w:r w:rsidR="004F32F4">
        <w:rPr>
          <w:rFonts w:ascii="Bookman Old Style" w:hAnsi="Bookman Old Style" w:cs="Traditional Arabic"/>
          <w:sz w:val="18"/>
          <w:szCs w:val="18"/>
        </w:rPr>
        <w:t>A</w:t>
      </w:r>
      <w:r w:rsidRPr="0021167D">
        <w:rPr>
          <w:rFonts w:ascii="Bookman Old Style" w:hAnsi="Bookman Old Style" w:cs="Traditional Arabic"/>
          <w:sz w:val="18"/>
          <w:szCs w:val="18"/>
        </w:rPr>
        <w:t xml:space="preserve">ccording to </w:t>
      </w:r>
      <w:r w:rsidR="004F32F4">
        <w:rPr>
          <w:rFonts w:ascii="Bookman Old Style" w:hAnsi="Bookman Old Style" w:cs="Traditional Arabic"/>
          <w:sz w:val="18"/>
          <w:szCs w:val="18"/>
        </w:rPr>
        <w:t>A</w:t>
      </w:r>
      <w:r w:rsidRPr="0021167D">
        <w:rPr>
          <w:rFonts w:ascii="Bookman Old Style" w:hAnsi="Bookman Old Style" w:cs="Traditional Arabic"/>
          <w:sz w:val="18"/>
          <w:szCs w:val="18"/>
        </w:rPr>
        <w:t xml:space="preserve">ctual </w:t>
      </w:r>
      <w:r w:rsidR="004F32F4">
        <w:rPr>
          <w:rFonts w:ascii="Bookman Old Style" w:hAnsi="Bookman Old Style" w:cs="Traditional Arabic"/>
          <w:sz w:val="18"/>
          <w:szCs w:val="18"/>
        </w:rPr>
        <w:t>C</w:t>
      </w:r>
      <w:r w:rsidRPr="0021167D">
        <w:rPr>
          <w:rFonts w:ascii="Bookman Old Style" w:hAnsi="Bookman Old Style" w:cs="Traditional Arabic"/>
          <w:sz w:val="18"/>
          <w:szCs w:val="18"/>
        </w:rPr>
        <w:t xml:space="preserve">onsumption </w:t>
      </w:r>
      <w:r w:rsidR="004F32F4">
        <w:rPr>
          <w:rFonts w:ascii="Bookman Old Style" w:hAnsi="Bookman Old Style" w:cs="Traditional Arabic"/>
          <w:sz w:val="18"/>
          <w:szCs w:val="18"/>
        </w:rPr>
        <w:t>P</w:t>
      </w:r>
      <w:r w:rsidRPr="0021167D">
        <w:rPr>
          <w:rFonts w:ascii="Bookman Old Style" w:hAnsi="Bookman Old Style" w:cs="Traditional Arabic"/>
          <w:sz w:val="18"/>
          <w:szCs w:val="18"/>
        </w:rPr>
        <w:t xml:space="preserve">atterns of </w:t>
      </w:r>
      <w:r w:rsidR="004F32F4">
        <w:rPr>
          <w:rFonts w:ascii="Bookman Old Style" w:hAnsi="Bookman Old Style" w:cs="Traditional Arabic"/>
          <w:sz w:val="18"/>
          <w:szCs w:val="18"/>
        </w:rPr>
        <w:t>I</w:t>
      </w:r>
      <w:r w:rsidRPr="0021167D">
        <w:rPr>
          <w:rFonts w:ascii="Bookman Old Style" w:hAnsi="Bookman Old Style" w:cs="Traditional Arabic"/>
          <w:sz w:val="18"/>
          <w:szCs w:val="18"/>
        </w:rPr>
        <w:t xml:space="preserve">ndividuals by </w:t>
      </w:r>
      <w:r w:rsidR="00DE79FD">
        <w:rPr>
          <w:rFonts w:ascii="Bookman Old Style" w:hAnsi="Bookman Old Style" w:cs="Traditional Arabic"/>
          <w:sz w:val="18"/>
          <w:szCs w:val="18"/>
        </w:rPr>
        <w:t>R</w:t>
      </w:r>
      <w:r w:rsidRPr="0021167D">
        <w:rPr>
          <w:rFonts w:ascii="Bookman Old Style" w:hAnsi="Bookman Old Style" w:cs="Traditional Arabic"/>
          <w:sz w:val="18"/>
          <w:szCs w:val="18"/>
        </w:rPr>
        <w:t xml:space="preserve">egion in the Palestinian </w:t>
      </w:r>
      <w:r w:rsidR="00DE79FD">
        <w:rPr>
          <w:rFonts w:ascii="Bookman Old Style" w:hAnsi="Bookman Old Style" w:cs="Traditional Arabic"/>
          <w:sz w:val="18"/>
          <w:szCs w:val="18"/>
        </w:rPr>
        <w:t>T</w:t>
      </w:r>
      <w:r w:rsidRPr="0021167D">
        <w:rPr>
          <w:rFonts w:ascii="Bookman Old Style" w:hAnsi="Bookman Old Style" w:cs="Traditional Arabic"/>
          <w:sz w:val="18"/>
          <w:szCs w:val="18"/>
        </w:rPr>
        <w:t>erritor</w:t>
      </w:r>
      <w:r w:rsidR="00DE79FD">
        <w:rPr>
          <w:rFonts w:ascii="Bookman Old Style" w:hAnsi="Bookman Old Style" w:cs="Traditional Arabic"/>
          <w:sz w:val="18"/>
          <w:szCs w:val="18"/>
        </w:rPr>
        <w:t>y,</w:t>
      </w:r>
      <w:r w:rsidRPr="0021167D">
        <w:rPr>
          <w:rFonts w:ascii="Bookman Old Style" w:hAnsi="Bookman Old Style" w:cs="Traditional Arabic"/>
          <w:sz w:val="18"/>
          <w:szCs w:val="18"/>
        </w:rPr>
        <w:t xml:space="preserve"> 2009 - 2010</w:t>
      </w:r>
    </w:p>
    <w:tbl>
      <w:tblPr>
        <w:tblW w:w="4749" w:type="dxa"/>
        <w:jc w:val="cente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ook w:val="04A0"/>
      </w:tblPr>
      <w:tblGrid>
        <w:gridCol w:w="1363"/>
        <w:gridCol w:w="863"/>
        <w:gridCol w:w="866"/>
        <w:gridCol w:w="863"/>
        <w:gridCol w:w="794"/>
      </w:tblGrid>
      <w:tr w:rsidR="00152993" w:rsidRPr="00D82DA7" w:rsidTr="00DE79FD">
        <w:trPr>
          <w:trHeight w:val="250"/>
          <w:jc w:val="center"/>
        </w:trPr>
        <w:tc>
          <w:tcPr>
            <w:tcW w:w="1391" w:type="dxa"/>
            <w:vMerge w:val="restart"/>
            <w:shd w:val="clear" w:color="auto" w:fill="E6EED5"/>
            <w:vAlign w:val="center"/>
          </w:tcPr>
          <w:p w:rsidR="00152993" w:rsidRPr="00D82DA7" w:rsidRDefault="00CA6F19" w:rsidP="000F68ED">
            <w:pPr>
              <w:bidi w:val="0"/>
              <w:jc w:val="center"/>
              <w:rPr>
                <w:rFonts w:ascii="Arial" w:hAnsi="Arial"/>
                <w:b/>
                <w:bCs/>
                <w:sz w:val="16"/>
                <w:szCs w:val="16"/>
              </w:rPr>
            </w:pPr>
            <w:r>
              <w:rPr>
                <w:rFonts w:ascii="Arial" w:hAnsi="Arial"/>
                <w:b/>
                <w:bCs/>
                <w:sz w:val="16"/>
                <w:szCs w:val="16"/>
              </w:rPr>
              <w:t>Region</w:t>
            </w:r>
          </w:p>
        </w:tc>
        <w:tc>
          <w:tcPr>
            <w:tcW w:w="1745" w:type="dxa"/>
            <w:gridSpan w:val="2"/>
            <w:shd w:val="clear" w:color="auto" w:fill="E6EED5"/>
            <w:vAlign w:val="center"/>
          </w:tcPr>
          <w:p w:rsidR="00152993" w:rsidRPr="00D82DA7" w:rsidRDefault="00152993" w:rsidP="000F68ED">
            <w:pPr>
              <w:bidi w:val="0"/>
              <w:jc w:val="center"/>
              <w:rPr>
                <w:rFonts w:ascii="Arial" w:hAnsi="Arial" w:cs="Arial"/>
                <w:b/>
                <w:bCs/>
                <w:sz w:val="16"/>
                <w:szCs w:val="16"/>
                <w:rtl/>
              </w:rPr>
            </w:pPr>
            <w:r w:rsidRPr="00D82DA7">
              <w:rPr>
                <w:rFonts w:ascii="Arial" w:hAnsi="Arial" w:cs="Arial"/>
                <w:b/>
                <w:bCs/>
                <w:sz w:val="16"/>
                <w:szCs w:val="16"/>
                <w:rtl/>
              </w:rPr>
              <w:t>2009</w:t>
            </w:r>
          </w:p>
        </w:tc>
        <w:tc>
          <w:tcPr>
            <w:tcW w:w="1613" w:type="dxa"/>
            <w:gridSpan w:val="2"/>
            <w:shd w:val="clear" w:color="auto" w:fill="E6EED5"/>
            <w:vAlign w:val="center"/>
          </w:tcPr>
          <w:p w:rsidR="00152993" w:rsidRPr="00D82DA7" w:rsidRDefault="00152993" w:rsidP="000F68ED">
            <w:pPr>
              <w:bidi w:val="0"/>
              <w:jc w:val="center"/>
              <w:rPr>
                <w:rFonts w:ascii="Arial" w:hAnsi="Arial" w:cs="Arial"/>
                <w:b/>
                <w:bCs/>
                <w:sz w:val="16"/>
                <w:szCs w:val="16"/>
                <w:rtl/>
              </w:rPr>
            </w:pPr>
            <w:r w:rsidRPr="00D82DA7">
              <w:rPr>
                <w:rFonts w:ascii="Arial" w:hAnsi="Arial" w:cs="Arial"/>
                <w:b/>
                <w:bCs/>
                <w:sz w:val="16"/>
                <w:szCs w:val="16"/>
                <w:rtl/>
              </w:rPr>
              <w:t>2010</w:t>
            </w:r>
          </w:p>
        </w:tc>
      </w:tr>
      <w:tr w:rsidR="00DE79FD" w:rsidRPr="00D82DA7" w:rsidTr="00CA6F19">
        <w:trPr>
          <w:trHeight w:val="227"/>
          <w:jc w:val="center"/>
        </w:trPr>
        <w:tc>
          <w:tcPr>
            <w:tcW w:w="1391" w:type="dxa"/>
            <w:vMerge/>
            <w:shd w:val="clear" w:color="auto" w:fill="CDDDAC"/>
          </w:tcPr>
          <w:p w:rsidR="00DE79FD" w:rsidRPr="00D82DA7" w:rsidRDefault="00DE79FD" w:rsidP="000F68ED">
            <w:pPr>
              <w:bidi w:val="0"/>
              <w:jc w:val="center"/>
              <w:rPr>
                <w:rFonts w:ascii="Arial" w:hAnsi="Arial"/>
                <w:b/>
                <w:bCs/>
                <w:sz w:val="16"/>
                <w:szCs w:val="16"/>
              </w:rPr>
            </w:pPr>
          </w:p>
        </w:tc>
        <w:tc>
          <w:tcPr>
            <w:tcW w:w="872" w:type="dxa"/>
            <w:shd w:val="clear" w:color="auto" w:fill="CDDDAC"/>
          </w:tcPr>
          <w:p w:rsidR="00DE79FD" w:rsidRPr="00D82DA7" w:rsidRDefault="00DE79FD" w:rsidP="000F68ED">
            <w:pPr>
              <w:bidi w:val="0"/>
              <w:jc w:val="center"/>
              <w:rPr>
                <w:rFonts w:ascii="Arial" w:hAnsi="Arial"/>
                <w:sz w:val="16"/>
                <w:szCs w:val="16"/>
                <w:rtl/>
              </w:rPr>
            </w:pPr>
            <w:r>
              <w:rPr>
                <w:rFonts w:ascii="Arial" w:hAnsi="Arial"/>
                <w:sz w:val="16"/>
                <w:szCs w:val="16"/>
              </w:rPr>
              <w:t>Poverty Gap</w:t>
            </w:r>
          </w:p>
        </w:tc>
        <w:tc>
          <w:tcPr>
            <w:tcW w:w="873" w:type="dxa"/>
            <w:shd w:val="clear" w:color="auto" w:fill="CDDDAC"/>
          </w:tcPr>
          <w:p w:rsidR="00DE79FD" w:rsidRPr="00D82DA7" w:rsidRDefault="00DE79FD" w:rsidP="000F68ED">
            <w:pPr>
              <w:bidi w:val="0"/>
              <w:jc w:val="center"/>
              <w:rPr>
                <w:rFonts w:ascii="Arial" w:hAnsi="Arial"/>
                <w:sz w:val="16"/>
                <w:szCs w:val="16"/>
              </w:rPr>
            </w:pPr>
            <w:r>
              <w:rPr>
                <w:rFonts w:ascii="Arial" w:hAnsi="Arial"/>
                <w:sz w:val="16"/>
                <w:szCs w:val="16"/>
              </w:rPr>
              <w:t>Poverty Severity</w:t>
            </w:r>
          </w:p>
        </w:tc>
        <w:tc>
          <w:tcPr>
            <w:tcW w:w="872" w:type="dxa"/>
            <w:shd w:val="clear" w:color="auto" w:fill="CDDDAC"/>
          </w:tcPr>
          <w:p w:rsidR="00DE79FD" w:rsidRPr="00D82DA7" w:rsidRDefault="00DE79FD" w:rsidP="001C6B03">
            <w:pPr>
              <w:bidi w:val="0"/>
              <w:jc w:val="center"/>
              <w:rPr>
                <w:rFonts w:ascii="Arial" w:hAnsi="Arial"/>
                <w:sz w:val="16"/>
                <w:szCs w:val="16"/>
                <w:rtl/>
              </w:rPr>
            </w:pPr>
            <w:r>
              <w:rPr>
                <w:rFonts w:ascii="Arial" w:hAnsi="Arial"/>
                <w:sz w:val="16"/>
                <w:szCs w:val="16"/>
              </w:rPr>
              <w:t>Poverty Gap</w:t>
            </w:r>
          </w:p>
        </w:tc>
        <w:tc>
          <w:tcPr>
            <w:tcW w:w="741" w:type="dxa"/>
            <w:shd w:val="clear" w:color="auto" w:fill="CDDDAC"/>
          </w:tcPr>
          <w:p w:rsidR="00DE79FD" w:rsidRPr="00D82DA7" w:rsidRDefault="00DE79FD" w:rsidP="001C6B03">
            <w:pPr>
              <w:bidi w:val="0"/>
              <w:jc w:val="center"/>
              <w:rPr>
                <w:rFonts w:ascii="Arial" w:hAnsi="Arial"/>
                <w:sz w:val="16"/>
                <w:szCs w:val="16"/>
              </w:rPr>
            </w:pPr>
            <w:r>
              <w:rPr>
                <w:rFonts w:ascii="Arial" w:hAnsi="Arial"/>
                <w:sz w:val="16"/>
                <w:szCs w:val="16"/>
              </w:rPr>
              <w:t>Poverty Severity</w:t>
            </w:r>
          </w:p>
        </w:tc>
      </w:tr>
      <w:tr w:rsidR="00152993" w:rsidRPr="00D82DA7" w:rsidTr="00CA6F19">
        <w:trPr>
          <w:trHeight w:val="227"/>
          <w:jc w:val="center"/>
        </w:trPr>
        <w:tc>
          <w:tcPr>
            <w:tcW w:w="1391" w:type="dxa"/>
            <w:shd w:val="clear" w:color="auto" w:fill="E6EED5"/>
            <w:vAlign w:val="center"/>
          </w:tcPr>
          <w:p w:rsidR="00152993" w:rsidRPr="00D82DA7" w:rsidRDefault="00CA6F19" w:rsidP="000F68ED">
            <w:pPr>
              <w:bidi w:val="0"/>
              <w:rPr>
                <w:rFonts w:ascii="Arial" w:hAnsi="Arial"/>
                <w:b/>
                <w:bCs/>
                <w:sz w:val="16"/>
                <w:szCs w:val="16"/>
              </w:rPr>
            </w:pPr>
            <w:r>
              <w:rPr>
                <w:rFonts w:ascii="Arial" w:hAnsi="Arial"/>
                <w:b/>
                <w:bCs/>
                <w:sz w:val="16"/>
                <w:szCs w:val="16"/>
              </w:rPr>
              <w:t>West Bank</w:t>
            </w:r>
          </w:p>
        </w:tc>
        <w:tc>
          <w:tcPr>
            <w:tcW w:w="872" w:type="dxa"/>
            <w:shd w:val="clear" w:color="auto" w:fill="E6EED5"/>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4.2</w:t>
            </w:r>
          </w:p>
        </w:tc>
        <w:tc>
          <w:tcPr>
            <w:tcW w:w="873" w:type="dxa"/>
            <w:shd w:val="clear" w:color="auto" w:fill="E6EED5"/>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1.4</w:t>
            </w:r>
          </w:p>
        </w:tc>
        <w:tc>
          <w:tcPr>
            <w:tcW w:w="872" w:type="dxa"/>
            <w:shd w:val="clear" w:color="auto" w:fill="E6EED5"/>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4.1</w:t>
            </w:r>
          </w:p>
        </w:tc>
        <w:tc>
          <w:tcPr>
            <w:tcW w:w="741" w:type="dxa"/>
            <w:shd w:val="clear" w:color="auto" w:fill="E6EED5"/>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1.4</w:t>
            </w:r>
          </w:p>
        </w:tc>
      </w:tr>
      <w:tr w:rsidR="00152993" w:rsidRPr="00D82DA7" w:rsidTr="00CA6F19">
        <w:trPr>
          <w:trHeight w:val="227"/>
          <w:jc w:val="center"/>
        </w:trPr>
        <w:tc>
          <w:tcPr>
            <w:tcW w:w="1391" w:type="dxa"/>
            <w:shd w:val="clear" w:color="auto" w:fill="CDDDAC"/>
            <w:vAlign w:val="center"/>
          </w:tcPr>
          <w:p w:rsidR="00152993" w:rsidRPr="00D82DA7" w:rsidRDefault="00CA6F19" w:rsidP="000F68ED">
            <w:pPr>
              <w:bidi w:val="0"/>
              <w:rPr>
                <w:rFonts w:ascii="Arial" w:hAnsi="Arial"/>
                <w:b/>
                <w:bCs/>
                <w:sz w:val="16"/>
                <w:szCs w:val="16"/>
              </w:rPr>
            </w:pPr>
            <w:r>
              <w:rPr>
                <w:rFonts w:ascii="Arial" w:hAnsi="Arial"/>
                <w:b/>
                <w:bCs/>
                <w:sz w:val="16"/>
                <w:szCs w:val="16"/>
              </w:rPr>
              <w:t>Gaza Strip</w:t>
            </w:r>
          </w:p>
        </w:tc>
        <w:tc>
          <w:tcPr>
            <w:tcW w:w="872" w:type="dxa"/>
            <w:shd w:val="clear" w:color="auto" w:fill="CDDDAC"/>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10.1</w:t>
            </w:r>
          </w:p>
        </w:tc>
        <w:tc>
          <w:tcPr>
            <w:tcW w:w="873" w:type="dxa"/>
            <w:shd w:val="clear" w:color="auto" w:fill="CDDDAC"/>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3.8</w:t>
            </w:r>
          </w:p>
        </w:tc>
        <w:tc>
          <w:tcPr>
            <w:tcW w:w="872" w:type="dxa"/>
            <w:shd w:val="clear" w:color="auto" w:fill="CDDDAC"/>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10.3</w:t>
            </w:r>
          </w:p>
        </w:tc>
        <w:tc>
          <w:tcPr>
            <w:tcW w:w="741" w:type="dxa"/>
            <w:shd w:val="clear" w:color="auto" w:fill="CDDDAC"/>
            <w:vAlign w:val="center"/>
          </w:tcPr>
          <w:p w:rsidR="00152993" w:rsidRPr="00D82DA7" w:rsidRDefault="00152993" w:rsidP="000F68ED">
            <w:pPr>
              <w:bidi w:val="0"/>
              <w:rPr>
                <w:rFonts w:ascii="Arial" w:hAnsi="Arial"/>
                <w:color w:val="000000"/>
                <w:sz w:val="16"/>
                <w:szCs w:val="16"/>
              </w:rPr>
            </w:pPr>
            <w:r w:rsidRPr="00D82DA7">
              <w:rPr>
                <w:rFonts w:ascii="Arial" w:hAnsi="Arial"/>
                <w:color w:val="000000"/>
                <w:sz w:val="16"/>
                <w:szCs w:val="16"/>
              </w:rPr>
              <w:t>3.9</w:t>
            </w:r>
          </w:p>
        </w:tc>
      </w:tr>
      <w:tr w:rsidR="00152993" w:rsidRPr="00D82DA7" w:rsidTr="00CA6F19">
        <w:trPr>
          <w:trHeight w:val="227"/>
          <w:jc w:val="center"/>
        </w:trPr>
        <w:tc>
          <w:tcPr>
            <w:tcW w:w="1391" w:type="dxa"/>
            <w:shd w:val="clear" w:color="auto" w:fill="E6EED5"/>
            <w:vAlign w:val="center"/>
          </w:tcPr>
          <w:p w:rsidR="00152993" w:rsidRPr="00D82DA7" w:rsidRDefault="00CA6F19" w:rsidP="000F68ED">
            <w:pPr>
              <w:bidi w:val="0"/>
              <w:rPr>
                <w:rFonts w:ascii="Arial" w:hAnsi="Arial"/>
                <w:b/>
                <w:bCs/>
                <w:sz w:val="16"/>
                <w:szCs w:val="16"/>
              </w:rPr>
            </w:pPr>
            <w:r>
              <w:rPr>
                <w:rFonts w:ascii="Arial" w:hAnsi="Arial"/>
                <w:b/>
                <w:bCs/>
                <w:sz w:val="16"/>
                <w:szCs w:val="16"/>
              </w:rPr>
              <w:t>Palestinian Territory</w:t>
            </w:r>
          </w:p>
        </w:tc>
        <w:tc>
          <w:tcPr>
            <w:tcW w:w="872" w:type="dxa"/>
            <w:shd w:val="clear" w:color="auto" w:fill="E6EED5"/>
            <w:vAlign w:val="center"/>
          </w:tcPr>
          <w:p w:rsidR="00152993" w:rsidRPr="00D82DA7" w:rsidRDefault="00152993" w:rsidP="000F68ED">
            <w:pPr>
              <w:bidi w:val="0"/>
              <w:rPr>
                <w:rFonts w:ascii="Arial" w:hAnsi="Arial"/>
                <w:b/>
                <w:bCs/>
                <w:color w:val="000000"/>
                <w:sz w:val="16"/>
                <w:szCs w:val="16"/>
              </w:rPr>
            </w:pPr>
            <w:r w:rsidRPr="00D82DA7">
              <w:rPr>
                <w:rFonts w:ascii="Arial" w:hAnsi="Arial"/>
                <w:b/>
                <w:bCs/>
                <w:color w:val="000000"/>
                <w:sz w:val="16"/>
                <w:szCs w:val="16"/>
              </w:rPr>
              <w:t>6.3</w:t>
            </w:r>
          </w:p>
        </w:tc>
        <w:tc>
          <w:tcPr>
            <w:tcW w:w="873" w:type="dxa"/>
            <w:shd w:val="clear" w:color="auto" w:fill="E6EED5"/>
            <w:vAlign w:val="center"/>
          </w:tcPr>
          <w:p w:rsidR="00152993" w:rsidRPr="00D82DA7" w:rsidRDefault="00152993" w:rsidP="000F68ED">
            <w:pPr>
              <w:bidi w:val="0"/>
              <w:rPr>
                <w:rFonts w:ascii="Arial" w:hAnsi="Arial"/>
                <w:b/>
                <w:bCs/>
                <w:color w:val="000000"/>
                <w:sz w:val="16"/>
                <w:szCs w:val="16"/>
              </w:rPr>
            </w:pPr>
            <w:r w:rsidRPr="00D82DA7">
              <w:rPr>
                <w:rFonts w:ascii="Arial" w:hAnsi="Arial"/>
                <w:b/>
                <w:bCs/>
                <w:color w:val="000000"/>
                <w:sz w:val="16"/>
                <w:szCs w:val="16"/>
              </w:rPr>
              <w:t>2.3</w:t>
            </w:r>
          </w:p>
        </w:tc>
        <w:tc>
          <w:tcPr>
            <w:tcW w:w="872" w:type="dxa"/>
            <w:shd w:val="clear" w:color="auto" w:fill="E6EED5"/>
            <w:vAlign w:val="center"/>
          </w:tcPr>
          <w:p w:rsidR="00152993" w:rsidRPr="00D82DA7" w:rsidRDefault="00152993" w:rsidP="000F68ED">
            <w:pPr>
              <w:bidi w:val="0"/>
              <w:rPr>
                <w:rFonts w:ascii="Arial" w:hAnsi="Arial"/>
                <w:b/>
                <w:bCs/>
                <w:color w:val="000000"/>
                <w:sz w:val="16"/>
                <w:szCs w:val="16"/>
              </w:rPr>
            </w:pPr>
            <w:r w:rsidRPr="00D82DA7">
              <w:rPr>
                <w:rFonts w:ascii="Arial" w:hAnsi="Arial"/>
                <w:b/>
                <w:bCs/>
                <w:color w:val="000000"/>
                <w:sz w:val="16"/>
                <w:szCs w:val="16"/>
              </w:rPr>
              <w:t>6.4</w:t>
            </w:r>
          </w:p>
        </w:tc>
        <w:tc>
          <w:tcPr>
            <w:tcW w:w="741" w:type="dxa"/>
            <w:shd w:val="clear" w:color="auto" w:fill="E6EED5"/>
            <w:vAlign w:val="center"/>
          </w:tcPr>
          <w:p w:rsidR="00152993" w:rsidRPr="00D82DA7" w:rsidRDefault="00152993" w:rsidP="000F68ED">
            <w:pPr>
              <w:bidi w:val="0"/>
              <w:rPr>
                <w:rFonts w:ascii="Arial" w:hAnsi="Arial"/>
                <w:b/>
                <w:bCs/>
                <w:color w:val="000000"/>
                <w:sz w:val="16"/>
                <w:szCs w:val="16"/>
              </w:rPr>
            </w:pPr>
            <w:r w:rsidRPr="00D82DA7">
              <w:rPr>
                <w:rFonts w:ascii="Arial" w:hAnsi="Arial"/>
                <w:b/>
                <w:bCs/>
                <w:color w:val="000000"/>
                <w:sz w:val="16"/>
                <w:szCs w:val="16"/>
              </w:rPr>
              <w:t>2.4</w:t>
            </w:r>
          </w:p>
        </w:tc>
      </w:tr>
    </w:tbl>
    <w:p w:rsidR="00A67E79" w:rsidRPr="000233B6" w:rsidRDefault="00A67E79" w:rsidP="00A67E79">
      <w:pPr>
        <w:bidi w:val="0"/>
        <w:jc w:val="both"/>
        <w:rPr>
          <w:rFonts w:cs="Times New Roman"/>
          <w:b/>
          <w:bCs/>
          <w:noProof w:val="0"/>
          <w:color w:val="0000FF"/>
          <w:sz w:val="20"/>
          <w:lang w:eastAsia="en-US"/>
        </w:rPr>
      </w:pPr>
    </w:p>
    <w:p w:rsidR="00A67E79" w:rsidRPr="000233B6" w:rsidRDefault="00A67E79" w:rsidP="00A67E79">
      <w:pPr>
        <w:bidi w:val="0"/>
        <w:jc w:val="both"/>
        <w:rPr>
          <w:rFonts w:cs="Times New Roman"/>
          <w:b/>
          <w:bCs/>
          <w:noProof w:val="0"/>
          <w:color w:val="0000FF"/>
          <w:sz w:val="20"/>
          <w:lang w:eastAsia="en-US"/>
        </w:rPr>
      </w:pPr>
      <w:r w:rsidRPr="000233B6">
        <w:rPr>
          <w:rFonts w:cs="Times New Roman"/>
          <w:b/>
          <w:bCs/>
          <w:noProof w:val="0"/>
          <w:color w:val="0000FF"/>
          <w:sz w:val="20"/>
          <w:lang w:eastAsia="en-US"/>
        </w:rPr>
        <w:t>Palestinian Central Bureau of Statistics</w:t>
      </w:r>
    </w:p>
    <w:p w:rsidR="00A67E79" w:rsidRPr="000233B6" w:rsidRDefault="00A67E79" w:rsidP="00A67E79">
      <w:pPr>
        <w:bidi w:val="0"/>
        <w:jc w:val="both"/>
        <w:rPr>
          <w:rFonts w:cs="Times New Roman"/>
          <w:b/>
          <w:bCs/>
          <w:noProof w:val="0"/>
          <w:color w:val="0000FF"/>
          <w:sz w:val="20"/>
          <w:lang w:eastAsia="en-US"/>
        </w:rPr>
      </w:pPr>
      <w:r w:rsidRPr="000233B6">
        <w:rPr>
          <w:rFonts w:cs="Times New Roman"/>
          <w:b/>
          <w:bCs/>
          <w:noProof w:val="0"/>
          <w:color w:val="0000FF"/>
          <w:sz w:val="20"/>
          <w:lang w:eastAsia="en-US"/>
        </w:rPr>
        <w:t>Ramallah-Palestine</w:t>
      </w:r>
    </w:p>
    <w:p w:rsidR="00A67E79" w:rsidRPr="000233B6" w:rsidRDefault="00A67E79" w:rsidP="00A67E79">
      <w:pPr>
        <w:bidi w:val="0"/>
        <w:jc w:val="both"/>
        <w:rPr>
          <w:rFonts w:cs="Times New Roman"/>
          <w:b/>
          <w:bCs/>
          <w:noProof w:val="0"/>
          <w:color w:val="0000FF"/>
          <w:sz w:val="20"/>
          <w:lang w:eastAsia="en-US"/>
        </w:rPr>
      </w:pPr>
      <w:r w:rsidRPr="000233B6">
        <w:rPr>
          <w:rFonts w:cs="Times New Roman"/>
          <w:b/>
          <w:bCs/>
          <w:noProof w:val="0"/>
          <w:color w:val="0000FF"/>
          <w:sz w:val="20"/>
          <w:lang w:eastAsia="en-US"/>
        </w:rPr>
        <w:t xml:space="preserve">Tel: (+970/972) 2 2982700  </w:t>
      </w:r>
    </w:p>
    <w:p w:rsidR="00A67E79" w:rsidRPr="000233B6" w:rsidRDefault="00A67E79" w:rsidP="00A67E79">
      <w:pPr>
        <w:bidi w:val="0"/>
        <w:jc w:val="both"/>
        <w:rPr>
          <w:rFonts w:cs="Times New Roman"/>
          <w:b/>
          <w:bCs/>
          <w:noProof w:val="0"/>
          <w:color w:val="0000FF"/>
          <w:sz w:val="20"/>
          <w:lang w:eastAsia="en-US"/>
        </w:rPr>
      </w:pPr>
      <w:r w:rsidRPr="000233B6">
        <w:rPr>
          <w:rFonts w:cs="Times New Roman"/>
          <w:b/>
          <w:bCs/>
          <w:noProof w:val="0"/>
          <w:color w:val="0000FF"/>
          <w:sz w:val="20"/>
          <w:lang w:eastAsia="en-US"/>
        </w:rPr>
        <w:t>Fax: (+970/972) 2 2982710</w:t>
      </w:r>
    </w:p>
    <w:p w:rsidR="00A67E79" w:rsidRPr="000233B6" w:rsidRDefault="00A67E79" w:rsidP="00A67E79">
      <w:pPr>
        <w:bidi w:val="0"/>
        <w:jc w:val="both"/>
        <w:rPr>
          <w:rFonts w:cs="Times New Roman"/>
          <w:b/>
          <w:bCs/>
          <w:noProof w:val="0"/>
          <w:color w:val="0000FF"/>
          <w:sz w:val="20"/>
          <w:lang w:eastAsia="en-US"/>
        </w:rPr>
      </w:pPr>
      <w:r w:rsidRPr="000233B6">
        <w:rPr>
          <w:rFonts w:cs="Times New Roman"/>
          <w:b/>
          <w:bCs/>
          <w:noProof w:val="0"/>
          <w:color w:val="0000FF"/>
          <w:sz w:val="20"/>
          <w:lang w:eastAsia="en-US"/>
        </w:rPr>
        <w:t>Toll Free: 1800300300</w:t>
      </w:r>
    </w:p>
    <w:p w:rsidR="00A67E79" w:rsidRPr="000233B6" w:rsidRDefault="00A67E79" w:rsidP="00A67E79">
      <w:pPr>
        <w:bidi w:val="0"/>
        <w:jc w:val="both"/>
        <w:rPr>
          <w:rFonts w:cs="Times New Roman"/>
          <w:b/>
          <w:bCs/>
          <w:noProof w:val="0"/>
          <w:color w:val="0000FF"/>
          <w:sz w:val="20"/>
          <w:lang w:eastAsia="en-US"/>
        </w:rPr>
      </w:pPr>
      <w:r w:rsidRPr="000233B6">
        <w:rPr>
          <w:rFonts w:cs="Times New Roman"/>
          <w:b/>
          <w:bCs/>
          <w:noProof w:val="0"/>
          <w:color w:val="0000FF"/>
          <w:sz w:val="20"/>
          <w:lang w:eastAsia="en-US"/>
        </w:rPr>
        <w:t xml:space="preserve">E-Mail: </w:t>
      </w:r>
      <w:r w:rsidRPr="000233B6">
        <w:rPr>
          <w:rFonts w:cs="Times New Roman"/>
          <w:noProof w:val="0"/>
          <w:color w:val="FF0000"/>
          <w:sz w:val="20"/>
        </w:rPr>
        <w:t>diwan@pcbs.gov.ps</w:t>
      </w:r>
    </w:p>
    <w:p w:rsidR="00172849" w:rsidRPr="00A67E79" w:rsidRDefault="00A67E79" w:rsidP="00A67E79">
      <w:pPr>
        <w:bidi w:val="0"/>
        <w:jc w:val="both"/>
        <w:rPr>
          <w:rFonts w:cs="Times New Roman"/>
          <w:b/>
          <w:bCs/>
          <w:noProof w:val="0"/>
          <w:color w:val="0000FF"/>
          <w:sz w:val="20"/>
          <w:rtl/>
          <w:lang w:eastAsia="en-US"/>
        </w:rPr>
      </w:pPr>
      <w:r w:rsidRPr="000233B6">
        <w:rPr>
          <w:rFonts w:cs="Times New Roman"/>
          <w:b/>
          <w:bCs/>
          <w:noProof w:val="0"/>
          <w:color w:val="0000FF"/>
          <w:sz w:val="20"/>
          <w:lang w:eastAsia="en-US"/>
        </w:rPr>
        <w:t>Web Site:</w:t>
      </w:r>
      <w:r w:rsidRPr="000233B6">
        <w:rPr>
          <w:rFonts w:cs="Times New Roman"/>
          <w:b/>
          <w:bCs/>
          <w:noProof w:val="0"/>
          <w:color w:val="FF0000"/>
          <w:sz w:val="20"/>
          <w:lang w:eastAsia="en-US"/>
        </w:rPr>
        <w:t xml:space="preserve"> </w:t>
      </w:r>
      <w:r w:rsidRPr="000233B6">
        <w:rPr>
          <w:rFonts w:cs="Times New Roman"/>
          <w:noProof w:val="0"/>
          <w:color w:val="FF0000"/>
          <w:sz w:val="20"/>
        </w:rPr>
        <w:t>http://www.pcbs.gov.ps</w:t>
      </w:r>
    </w:p>
    <w:sectPr w:rsidR="00172849" w:rsidRPr="00A67E79" w:rsidSect="002C013E">
      <w:endnotePr>
        <w:numFmt w:val="lowerLetter"/>
      </w:endnotePr>
      <w:pgSz w:w="16840" w:h="11907" w:orient="landscape" w:code="9"/>
      <w:pgMar w:top="397" w:right="397" w:bottom="397" w:left="397" w:header="0" w:footer="0" w:gutter="0"/>
      <w:cols w:num="3" w:space="7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756" w:rsidRDefault="004F0756">
      <w:r>
        <w:separator/>
      </w:r>
    </w:p>
  </w:endnote>
  <w:endnote w:type="continuationSeparator" w:id="0">
    <w:p w:rsidR="004F0756" w:rsidRDefault="004F07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Monotype Koufi">
    <w:panose1 w:val="00000000000000000000"/>
    <w:charset w:val="B2"/>
    <w:family w:val="auto"/>
    <w:pitch w:val="variable"/>
    <w:sig w:usb0="02942001" w:usb1="03D40006" w:usb2="02620000" w:usb3="00000000" w:csb0="0000004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756" w:rsidRDefault="004F0756">
      <w:r>
        <w:separator/>
      </w:r>
    </w:p>
  </w:footnote>
  <w:footnote w:type="continuationSeparator" w:id="0">
    <w:p w:rsidR="004F0756" w:rsidRDefault="004F07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42009"/>
    <w:multiLevelType w:val="hybridMultilevel"/>
    <w:tmpl w:val="689CB62A"/>
    <w:lvl w:ilvl="0" w:tplc="F6D03710">
      <w:numFmt w:val="bullet"/>
      <w:lvlText w:val="-"/>
      <w:lvlJc w:val="left"/>
      <w:pPr>
        <w:ind w:left="720" w:hanging="360"/>
      </w:pPr>
      <w:rPr>
        <w:rFonts w:ascii="Times New Roman" w:eastAsia="Times New Roman" w:hAnsi="Times New Roman" w:cs="Simplified Arabic"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D17CA"/>
    <w:multiLevelType w:val="singleLevel"/>
    <w:tmpl w:val="ADC274EC"/>
    <w:lvl w:ilvl="0">
      <w:start w:val="1"/>
      <w:numFmt w:val="decimal"/>
      <w:lvlText w:val="%1."/>
      <w:lvlJc w:val="left"/>
      <w:pPr>
        <w:tabs>
          <w:tab w:val="num" w:pos="360"/>
        </w:tabs>
        <w:ind w:left="360" w:right="360" w:hanging="360"/>
      </w:pPr>
      <w:rPr>
        <w:rFonts w:hint="default"/>
      </w:rPr>
    </w:lvl>
  </w:abstractNum>
  <w:abstractNum w:abstractNumId="2">
    <w:nsid w:val="0D6D5054"/>
    <w:multiLevelType w:val="hybridMultilevel"/>
    <w:tmpl w:val="A8926862"/>
    <w:lvl w:ilvl="0" w:tplc="F6D03710">
      <w:numFmt w:val="bullet"/>
      <w:lvlText w:val="-"/>
      <w:lvlJc w:val="left"/>
      <w:pPr>
        <w:ind w:left="720" w:hanging="360"/>
      </w:pPr>
      <w:rPr>
        <w:rFonts w:ascii="Times New Roman" w:eastAsia="Times New Roman" w:hAnsi="Times New Roman" w:cs="Simplified Arabic"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D4B5E"/>
    <w:multiLevelType w:val="hybridMultilevel"/>
    <w:tmpl w:val="15664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B424F6"/>
    <w:multiLevelType w:val="hybridMultilevel"/>
    <w:tmpl w:val="333AB902"/>
    <w:lvl w:ilvl="0" w:tplc="0409000D">
      <w:start w:val="1"/>
      <w:numFmt w:val="bullet"/>
      <w:lvlText w:val=""/>
      <w:lvlJc w:val="left"/>
      <w:pPr>
        <w:ind w:left="720" w:hanging="360"/>
      </w:pPr>
      <w:rPr>
        <w:rFonts w:ascii="Wingdings" w:hAnsi="Wingdings"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6654A8"/>
    <w:multiLevelType w:val="hybridMultilevel"/>
    <w:tmpl w:val="FC2A7F1A"/>
    <w:lvl w:ilvl="0" w:tplc="04010005">
      <w:start w:val="1"/>
      <w:numFmt w:val="bullet"/>
      <w:lvlText w:val=""/>
      <w:lvlJc w:val="left"/>
      <w:pPr>
        <w:tabs>
          <w:tab w:val="num" w:pos="720"/>
        </w:tabs>
        <w:ind w:left="720" w:right="720" w:hanging="360"/>
      </w:pPr>
      <w:rPr>
        <w:rFonts w:ascii="Wingdings" w:hAnsi="Wingdings" w:cs="Times New Roman" w:hint="default"/>
      </w:rPr>
    </w:lvl>
    <w:lvl w:ilvl="1" w:tplc="AA40D844">
      <w:start w:val="1"/>
      <w:numFmt w:val="bullet"/>
      <w:lvlText w:val="-"/>
      <w:lvlJc w:val="left"/>
      <w:pPr>
        <w:tabs>
          <w:tab w:val="num" w:pos="1440"/>
        </w:tabs>
        <w:ind w:left="1440" w:right="1440" w:hanging="360"/>
      </w:pPr>
      <w:rPr>
        <w:rFonts w:ascii="Times New Roman" w:eastAsia="Times New Roman" w:hAnsi="Times New Roman"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6">
    <w:nsid w:val="38DE4CA2"/>
    <w:multiLevelType w:val="hybridMultilevel"/>
    <w:tmpl w:val="CAD8456A"/>
    <w:lvl w:ilvl="0" w:tplc="C44633C0">
      <w:numFmt w:val="bullet"/>
      <w:lvlText w:val="-"/>
      <w:lvlJc w:val="left"/>
      <w:pPr>
        <w:tabs>
          <w:tab w:val="num" w:pos="720"/>
        </w:tabs>
        <w:ind w:left="720" w:right="720" w:hanging="360"/>
      </w:pPr>
      <w:rPr>
        <w:rFonts w:ascii="Times New Roman" w:eastAsia="Times New Roman" w:hAnsi="Times New Roman" w:hint="default"/>
      </w:rPr>
    </w:lvl>
    <w:lvl w:ilvl="1" w:tplc="04090003">
      <w:start w:val="1"/>
      <w:numFmt w:val="bullet"/>
      <w:lvlText w:val="o"/>
      <w:lvlJc w:val="left"/>
      <w:pPr>
        <w:tabs>
          <w:tab w:val="num" w:pos="720"/>
        </w:tabs>
        <w:ind w:left="720" w:right="720" w:hanging="360"/>
      </w:pPr>
      <w:rPr>
        <w:rFonts w:ascii="Courier New" w:hAnsi="Courier New" w:cs="Courier New" w:hint="default"/>
      </w:rPr>
    </w:lvl>
    <w:lvl w:ilvl="2" w:tplc="C44633C0">
      <w:numFmt w:val="bullet"/>
      <w:lvlText w:val="-"/>
      <w:lvlJc w:val="left"/>
      <w:pPr>
        <w:tabs>
          <w:tab w:val="num" w:pos="2160"/>
        </w:tabs>
        <w:ind w:left="2160" w:right="2160" w:hanging="360"/>
      </w:pPr>
      <w:rPr>
        <w:rFonts w:ascii="Times New Roman" w:eastAsia="Times New Roman" w:hAnsi="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7">
    <w:nsid w:val="3F2C4A75"/>
    <w:multiLevelType w:val="hybridMultilevel"/>
    <w:tmpl w:val="AA46AE5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4C0C33E5"/>
    <w:multiLevelType w:val="hybridMultilevel"/>
    <w:tmpl w:val="CE5EA1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C9255F"/>
    <w:multiLevelType w:val="hybridMultilevel"/>
    <w:tmpl w:val="B45CD3E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9"/>
  </w:num>
  <w:num w:numId="2">
    <w:abstractNumId w:val="1"/>
  </w:num>
  <w:num w:numId="3">
    <w:abstractNumId w:val="6"/>
  </w:num>
  <w:num w:numId="4">
    <w:abstractNumId w:val="5"/>
  </w:num>
  <w:num w:numId="5">
    <w:abstractNumId w:val="3"/>
  </w:num>
  <w:num w:numId="6">
    <w:abstractNumId w:val="2"/>
  </w:num>
  <w:num w:numId="7">
    <w:abstractNumId w:val="0"/>
  </w:num>
  <w:num w:numId="8">
    <w:abstractNumId w:val="4"/>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6C5A9C"/>
    <w:rsid w:val="000220E5"/>
    <w:rsid w:val="00043BC1"/>
    <w:rsid w:val="00090D1A"/>
    <w:rsid w:val="0009513B"/>
    <w:rsid w:val="000A2B6A"/>
    <w:rsid w:val="000B1D36"/>
    <w:rsid w:val="000D2BBC"/>
    <w:rsid w:val="000D3012"/>
    <w:rsid w:val="000F68ED"/>
    <w:rsid w:val="00152993"/>
    <w:rsid w:val="00166992"/>
    <w:rsid w:val="00172849"/>
    <w:rsid w:val="00187405"/>
    <w:rsid w:val="00192ACC"/>
    <w:rsid w:val="001A4E0D"/>
    <w:rsid w:val="001A56E5"/>
    <w:rsid w:val="001B5076"/>
    <w:rsid w:val="001D1F67"/>
    <w:rsid w:val="0021167D"/>
    <w:rsid w:val="00211EF5"/>
    <w:rsid w:val="00221D7F"/>
    <w:rsid w:val="002761FF"/>
    <w:rsid w:val="002809D4"/>
    <w:rsid w:val="0029077B"/>
    <w:rsid w:val="002926A4"/>
    <w:rsid w:val="002931EA"/>
    <w:rsid w:val="002C013E"/>
    <w:rsid w:val="00303F30"/>
    <w:rsid w:val="003202A6"/>
    <w:rsid w:val="00382BDB"/>
    <w:rsid w:val="0039619A"/>
    <w:rsid w:val="003B61C6"/>
    <w:rsid w:val="003C5437"/>
    <w:rsid w:val="003F257A"/>
    <w:rsid w:val="004040FA"/>
    <w:rsid w:val="00412596"/>
    <w:rsid w:val="004306DD"/>
    <w:rsid w:val="004437DE"/>
    <w:rsid w:val="004443A4"/>
    <w:rsid w:val="00447C51"/>
    <w:rsid w:val="00461987"/>
    <w:rsid w:val="004632F4"/>
    <w:rsid w:val="00497863"/>
    <w:rsid w:val="004D0DAD"/>
    <w:rsid w:val="004F0756"/>
    <w:rsid w:val="004F32F4"/>
    <w:rsid w:val="00507491"/>
    <w:rsid w:val="005247EE"/>
    <w:rsid w:val="005444B9"/>
    <w:rsid w:val="005459A2"/>
    <w:rsid w:val="00565DC6"/>
    <w:rsid w:val="00571798"/>
    <w:rsid w:val="005D0180"/>
    <w:rsid w:val="005E5E94"/>
    <w:rsid w:val="005F1A2E"/>
    <w:rsid w:val="005F78EB"/>
    <w:rsid w:val="00612EF7"/>
    <w:rsid w:val="00620E0F"/>
    <w:rsid w:val="006862B1"/>
    <w:rsid w:val="00692376"/>
    <w:rsid w:val="006A2877"/>
    <w:rsid w:val="006A4E32"/>
    <w:rsid w:val="006A692F"/>
    <w:rsid w:val="006C5A9C"/>
    <w:rsid w:val="00713F9C"/>
    <w:rsid w:val="00732905"/>
    <w:rsid w:val="00736298"/>
    <w:rsid w:val="00754F02"/>
    <w:rsid w:val="007D3ECE"/>
    <w:rsid w:val="007F5A0E"/>
    <w:rsid w:val="007F6979"/>
    <w:rsid w:val="007F6DE4"/>
    <w:rsid w:val="0086144A"/>
    <w:rsid w:val="00881BDE"/>
    <w:rsid w:val="008C02D3"/>
    <w:rsid w:val="008D492B"/>
    <w:rsid w:val="008D6222"/>
    <w:rsid w:val="008F59F9"/>
    <w:rsid w:val="009031FB"/>
    <w:rsid w:val="0091739D"/>
    <w:rsid w:val="0092710C"/>
    <w:rsid w:val="00942A84"/>
    <w:rsid w:val="00952042"/>
    <w:rsid w:val="00964BBF"/>
    <w:rsid w:val="009733A1"/>
    <w:rsid w:val="009813E5"/>
    <w:rsid w:val="009C48D9"/>
    <w:rsid w:val="009D45E1"/>
    <w:rsid w:val="00A229E4"/>
    <w:rsid w:val="00A67E79"/>
    <w:rsid w:val="00A718AA"/>
    <w:rsid w:val="00AA32FD"/>
    <w:rsid w:val="00AA6F2F"/>
    <w:rsid w:val="00B01DED"/>
    <w:rsid w:val="00B103DF"/>
    <w:rsid w:val="00B2044B"/>
    <w:rsid w:val="00B235B6"/>
    <w:rsid w:val="00B268FF"/>
    <w:rsid w:val="00B428CA"/>
    <w:rsid w:val="00B47822"/>
    <w:rsid w:val="00B6698E"/>
    <w:rsid w:val="00B7739E"/>
    <w:rsid w:val="00BA5850"/>
    <w:rsid w:val="00BC5EFB"/>
    <w:rsid w:val="00BF18C6"/>
    <w:rsid w:val="00BF5FDA"/>
    <w:rsid w:val="00C32736"/>
    <w:rsid w:val="00C43BF4"/>
    <w:rsid w:val="00C76541"/>
    <w:rsid w:val="00C820F6"/>
    <w:rsid w:val="00C83F78"/>
    <w:rsid w:val="00C87CBC"/>
    <w:rsid w:val="00CA0F4B"/>
    <w:rsid w:val="00CA6F19"/>
    <w:rsid w:val="00CC655F"/>
    <w:rsid w:val="00D05E88"/>
    <w:rsid w:val="00D329AA"/>
    <w:rsid w:val="00D82DA7"/>
    <w:rsid w:val="00D84190"/>
    <w:rsid w:val="00DB3CE4"/>
    <w:rsid w:val="00DC7C40"/>
    <w:rsid w:val="00DE521F"/>
    <w:rsid w:val="00DE79FD"/>
    <w:rsid w:val="00E020E2"/>
    <w:rsid w:val="00E43441"/>
    <w:rsid w:val="00E62C16"/>
    <w:rsid w:val="00EB47DC"/>
    <w:rsid w:val="00F15971"/>
    <w:rsid w:val="00F21046"/>
    <w:rsid w:val="00F51547"/>
    <w:rsid w:val="00F731C4"/>
    <w:rsid w:val="00F772DD"/>
    <w:rsid w:val="00FB78B5"/>
    <w:rsid w:val="00FE3F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BF4"/>
    <w:pPr>
      <w:bidi/>
    </w:pPr>
    <w:rPr>
      <w:rFonts w:cs="Simplified Arabic"/>
      <w:noProof/>
      <w:sz w:val="24"/>
      <w:lang w:eastAsia="ar-SA"/>
    </w:rPr>
  </w:style>
  <w:style w:type="paragraph" w:styleId="Heading1">
    <w:name w:val="heading 1"/>
    <w:basedOn w:val="Normal"/>
    <w:next w:val="Normal"/>
    <w:qFormat/>
    <w:rsid w:val="00C43BF4"/>
    <w:pPr>
      <w:keepNext/>
      <w:jc w:val="center"/>
      <w:outlineLvl w:val="0"/>
    </w:pPr>
    <w:rPr>
      <w:rFonts w:ascii="Tahoma" w:hAnsi="Tahoma" w:cs="Monotype Koufi"/>
      <w:b/>
      <w:bCs/>
      <w:shadow/>
      <w:color w:val="008080"/>
      <w:szCs w:val="24"/>
      <w:lang w:eastAsia="en-US"/>
    </w:rPr>
  </w:style>
  <w:style w:type="paragraph" w:styleId="Heading2">
    <w:name w:val="heading 2"/>
    <w:basedOn w:val="Normal"/>
    <w:next w:val="Normal"/>
    <w:qFormat/>
    <w:rsid w:val="00C43BF4"/>
    <w:pPr>
      <w:keepNext/>
      <w:bidi w:val="0"/>
      <w:outlineLvl w:val="1"/>
    </w:pPr>
    <w:rPr>
      <w:rFonts w:ascii="Bookman Old Style" w:hAnsi="Bookman Old Style"/>
      <w:b/>
      <w:bCs/>
      <w:color w:val="0000FF"/>
      <w:sz w:val="20"/>
      <w:lang w:eastAsia="en-US"/>
    </w:rPr>
  </w:style>
  <w:style w:type="paragraph" w:styleId="Heading3">
    <w:name w:val="heading 3"/>
    <w:basedOn w:val="Normal"/>
    <w:next w:val="Normal"/>
    <w:link w:val="Heading3Char"/>
    <w:uiPriority w:val="9"/>
    <w:semiHidden/>
    <w:unhideWhenUsed/>
    <w:qFormat/>
    <w:rsid w:val="002C013E"/>
    <w:pPr>
      <w:keepNext/>
      <w:spacing w:before="240" w:after="60"/>
      <w:outlineLvl w:val="2"/>
    </w:pPr>
    <w:rPr>
      <w:rFonts w:ascii="Cambria" w:hAnsi="Cambria" w:cs="Times New Roman"/>
      <w:b/>
      <w:bCs/>
      <w:sz w:val="26"/>
      <w:szCs w:val="26"/>
    </w:rPr>
  </w:style>
  <w:style w:type="paragraph" w:styleId="Heading4">
    <w:name w:val="heading 4"/>
    <w:basedOn w:val="Normal"/>
    <w:next w:val="Normal"/>
    <w:qFormat/>
    <w:rsid w:val="00C43BF4"/>
    <w:pPr>
      <w:keepNext/>
      <w:bidi w:val="0"/>
      <w:outlineLvl w:val="3"/>
    </w:pPr>
    <w:rPr>
      <w:rFonts w:cs="Traditional Arabic"/>
      <w:b/>
      <w:bCs/>
      <w:shadow/>
      <w:lang w:eastAsia="en-US"/>
    </w:rPr>
  </w:style>
  <w:style w:type="paragraph" w:styleId="Heading8">
    <w:name w:val="heading 8"/>
    <w:basedOn w:val="Normal"/>
    <w:next w:val="Normal"/>
    <w:link w:val="Heading8Char"/>
    <w:uiPriority w:val="9"/>
    <w:semiHidden/>
    <w:unhideWhenUsed/>
    <w:qFormat/>
    <w:rsid w:val="00152993"/>
    <w:pPr>
      <w:spacing w:before="240" w:after="60"/>
      <w:outlineLvl w:val="7"/>
    </w:pPr>
    <w:rPr>
      <w:rFonts w:ascii="Calibri" w:hAnsi="Calibri" w:cs="Arial"/>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C43BF4"/>
    <w:rPr>
      <w:color w:val="0000FF"/>
      <w:u w:val="single"/>
    </w:rPr>
  </w:style>
  <w:style w:type="paragraph" w:styleId="Header">
    <w:name w:val="header"/>
    <w:basedOn w:val="Normal"/>
    <w:semiHidden/>
    <w:rsid w:val="00C43BF4"/>
    <w:pPr>
      <w:tabs>
        <w:tab w:val="center" w:pos="4153"/>
        <w:tab w:val="right" w:pos="8306"/>
      </w:tabs>
    </w:pPr>
    <w:rPr>
      <w:szCs w:val="28"/>
    </w:rPr>
  </w:style>
  <w:style w:type="paragraph" w:styleId="Footer">
    <w:name w:val="footer"/>
    <w:basedOn w:val="Normal"/>
    <w:semiHidden/>
    <w:rsid w:val="00C43BF4"/>
    <w:pPr>
      <w:tabs>
        <w:tab w:val="center" w:pos="4153"/>
        <w:tab w:val="right" w:pos="8306"/>
      </w:tabs>
    </w:pPr>
    <w:rPr>
      <w:szCs w:val="28"/>
    </w:rPr>
  </w:style>
  <w:style w:type="paragraph" w:styleId="DocumentMap">
    <w:name w:val="Document Map"/>
    <w:basedOn w:val="Normal"/>
    <w:semiHidden/>
    <w:rsid w:val="00C43BF4"/>
    <w:pPr>
      <w:shd w:val="clear" w:color="auto" w:fill="000080"/>
    </w:pPr>
    <w:rPr>
      <w:rFonts w:ascii="Tahoma" w:hAnsi="Tahoma" w:cs="Tahoma"/>
    </w:rPr>
  </w:style>
  <w:style w:type="paragraph" w:styleId="Caption">
    <w:name w:val="caption"/>
    <w:basedOn w:val="Normal"/>
    <w:next w:val="Normal"/>
    <w:qFormat/>
    <w:rsid w:val="00C43BF4"/>
    <w:pPr>
      <w:jc w:val="center"/>
      <w:outlineLvl w:val="0"/>
    </w:pPr>
    <w:rPr>
      <w:rFonts w:ascii="Bookman Old Style" w:hAnsi="Bookman Old Style"/>
      <w:b/>
      <w:bCs/>
      <w:shadow/>
      <w:noProof w:val="0"/>
      <w:color w:val="FF0000"/>
      <w:sz w:val="32"/>
      <w:szCs w:val="32"/>
      <w:lang w:eastAsia="en-US"/>
    </w:rPr>
  </w:style>
  <w:style w:type="paragraph" w:styleId="BodyText">
    <w:name w:val="Body Text"/>
    <w:basedOn w:val="Normal"/>
    <w:semiHidden/>
    <w:rsid w:val="00C43BF4"/>
    <w:pPr>
      <w:bidi w:val="0"/>
      <w:jc w:val="lowKashida"/>
    </w:pPr>
    <w:rPr>
      <w:rFonts w:ascii="Bookman Old Style" w:hAnsi="Bookman Old Style"/>
      <w:sz w:val="20"/>
      <w:lang w:eastAsia="en-US"/>
    </w:rPr>
  </w:style>
  <w:style w:type="paragraph" w:styleId="BodyText2">
    <w:name w:val="Body Text 2"/>
    <w:basedOn w:val="Normal"/>
    <w:semiHidden/>
    <w:rsid w:val="00C43BF4"/>
    <w:pPr>
      <w:bidi w:val="0"/>
    </w:pPr>
    <w:rPr>
      <w:rFonts w:ascii="Bookman Old Style" w:hAnsi="Bookman Old Style"/>
      <w:sz w:val="20"/>
    </w:rPr>
  </w:style>
  <w:style w:type="paragraph" w:styleId="BodyTextIndent">
    <w:name w:val="Body Text Indent"/>
    <w:basedOn w:val="Normal"/>
    <w:semiHidden/>
    <w:rsid w:val="00C43BF4"/>
    <w:pPr>
      <w:bidi w:val="0"/>
      <w:ind w:hanging="142"/>
    </w:pPr>
    <w:rPr>
      <w:rFonts w:ascii="Bookman Old Style" w:hAnsi="Bookman Old Style"/>
      <w:sz w:val="20"/>
    </w:rPr>
  </w:style>
  <w:style w:type="paragraph" w:styleId="BodyTextIndent2">
    <w:name w:val="Body Text Indent 2"/>
    <w:basedOn w:val="Normal"/>
    <w:semiHidden/>
    <w:rsid w:val="00C43BF4"/>
    <w:pPr>
      <w:bidi w:val="0"/>
      <w:ind w:left="284" w:hanging="284"/>
      <w:jc w:val="lowKashida"/>
    </w:pPr>
    <w:rPr>
      <w:rFonts w:ascii="Bookman Old Style" w:hAnsi="Bookman Old Style"/>
      <w:sz w:val="20"/>
    </w:rPr>
  </w:style>
  <w:style w:type="table" w:styleId="TableGrid">
    <w:name w:val="Table Grid"/>
    <w:basedOn w:val="TableNormal"/>
    <w:rsid w:val="002761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4632F4"/>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4">
    <w:name w:val="Medium Shading 2 Accent 4"/>
    <w:basedOn w:val="TableNormal"/>
    <w:uiPriority w:val="64"/>
    <w:rsid w:val="004632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4632F4"/>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Shading-Accent11">
    <w:name w:val="Light Shading - Accent 11"/>
    <w:basedOn w:val="TableNormal"/>
    <w:uiPriority w:val="60"/>
    <w:rsid w:val="0016699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olorfulGrid-Accent3">
    <w:name w:val="Colorful Grid Accent 3"/>
    <w:basedOn w:val="TableNormal"/>
    <w:uiPriority w:val="73"/>
    <w:rsid w:val="0016699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character" w:customStyle="1" w:styleId="Heading8Char">
    <w:name w:val="Heading 8 Char"/>
    <w:basedOn w:val="DefaultParagraphFont"/>
    <w:link w:val="Heading8"/>
    <w:uiPriority w:val="9"/>
    <w:semiHidden/>
    <w:rsid w:val="00152993"/>
    <w:rPr>
      <w:rFonts w:ascii="Calibri" w:eastAsia="Times New Roman" w:hAnsi="Calibri" w:cs="Arial"/>
      <w:i/>
      <w:iCs/>
      <w:noProof/>
      <w:sz w:val="24"/>
      <w:szCs w:val="24"/>
      <w:lang w:eastAsia="ar-SA"/>
    </w:rPr>
  </w:style>
  <w:style w:type="table" w:styleId="MediumGrid1-Accent3">
    <w:name w:val="Medium Grid 1 Accent 3"/>
    <w:basedOn w:val="TableNormal"/>
    <w:uiPriority w:val="67"/>
    <w:rsid w:val="00152993"/>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List2-Accent3">
    <w:name w:val="Medium List 2 Accent 3"/>
    <w:basedOn w:val="TableNormal"/>
    <w:uiPriority w:val="66"/>
    <w:rsid w:val="00152993"/>
    <w:rPr>
      <w:rFonts w:ascii="Cambria" w:hAnsi="Cambria" w:cs="Times New Roman"/>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themeColor="accent3"/>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ColorfulGrid-Accent4">
    <w:name w:val="Colorful Grid Accent 4"/>
    <w:basedOn w:val="TableNormal"/>
    <w:uiPriority w:val="73"/>
    <w:rsid w:val="0015299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character" w:customStyle="1" w:styleId="Heading3Char">
    <w:name w:val="Heading 3 Char"/>
    <w:basedOn w:val="DefaultParagraphFont"/>
    <w:link w:val="Heading3"/>
    <w:uiPriority w:val="9"/>
    <w:semiHidden/>
    <w:rsid w:val="002C013E"/>
    <w:rPr>
      <w:rFonts w:ascii="Cambria" w:eastAsia="Times New Roman" w:hAnsi="Cambria" w:cs="Times New Roman"/>
      <w:b/>
      <w:bCs/>
      <w:noProof/>
      <w:sz w:val="26"/>
      <w:szCs w:val="26"/>
      <w:lang w:eastAsia="ar-SA"/>
    </w:rPr>
  </w:style>
  <w:style w:type="character" w:customStyle="1" w:styleId="longtext">
    <w:name w:val="long_text"/>
    <w:basedOn w:val="DefaultParagraphFont"/>
    <w:rsid w:val="004443A4"/>
  </w:style>
  <w:style w:type="paragraph" w:styleId="BalloonText">
    <w:name w:val="Balloon Text"/>
    <w:basedOn w:val="Normal"/>
    <w:link w:val="BalloonTextChar"/>
    <w:uiPriority w:val="99"/>
    <w:semiHidden/>
    <w:unhideWhenUsed/>
    <w:rsid w:val="00AA6F2F"/>
    <w:rPr>
      <w:rFonts w:ascii="Tahoma" w:hAnsi="Tahoma" w:cs="Tahoma"/>
      <w:sz w:val="16"/>
      <w:szCs w:val="16"/>
    </w:rPr>
  </w:style>
  <w:style w:type="character" w:customStyle="1" w:styleId="BalloonTextChar">
    <w:name w:val="Balloon Text Char"/>
    <w:basedOn w:val="DefaultParagraphFont"/>
    <w:link w:val="BalloonText"/>
    <w:uiPriority w:val="99"/>
    <w:semiHidden/>
    <w:rsid w:val="00AA6F2F"/>
    <w:rPr>
      <w:rFonts w:ascii="Tahoma" w:hAnsi="Tahoma" w:cs="Tahoma"/>
      <w:noProof/>
      <w:sz w:val="16"/>
      <w:szCs w:val="16"/>
      <w:lang w:eastAsia="ar-SA"/>
    </w:rPr>
  </w:style>
</w:styles>
</file>

<file path=word/webSettings.xml><?xml version="1.0" encoding="utf-8"?>
<w:webSettings xmlns:r="http://schemas.openxmlformats.org/officeDocument/2006/relationships" xmlns:w="http://schemas.openxmlformats.org/wordprocessingml/2006/main">
  <w:divs>
    <w:div w:id="269774981">
      <w:bodyDiv w:val="1"/>
      <w:marLeft w:val="0"/>
      <w:marRight w:val="0"/>
      <w:marTop w:val="0"/>
      <w:marBottom w:val="0"/>
      <w:divBdr>
        <w:top w:val="none" w:sz="0" w:space="0" w:color="auto"/>
        <w:left w:val="none" w:sz="0" w:space="0" w:color="auto"/>
        <w:bottom w:val="none" w:sz="0" w:space="0" w:color="auto"/>
        <w:right w:val="none" w:sz="0" w:space="0" w:color="auto"/>
      </w:divBdr>
      <w:divsChild>
        <w:div w:id="110829761">
          <w:marLeft w:val="0"/>
          <w:marRight w:val="0"/>
          <w:marTop w:val="0"/>
          <w:marBottom w:val="0"/>
          <w:divBdr>
            <w:top w:val="none" w:sz="0" w:space="0" w:color="auto"/>
            <w:left w:val="none" w:sz="0" w:space="0" w:color="auto"/>
            <w:bottom w:val="none" w:sz="0" w:space="0" w:color="auto"/>
            <w:right w:val="none" w:sz="0" w:space="0" w:color="auto"/>
          </w:divBdr>
          <w:divsChild>
            <w:div w:id="1996646971">
              <w:marLeft w:val="0"/>
              <w:marRight w:val="0"/>
              <w:marTop w:val="0"/>
              <w:marBottom w:val="0"/>
              <w:divBdr>
                <w:top w:val="none" w:sz="0" w:space="0" w:color="auto"/>
                <w:left w:val="none" w:sz="0" w:space="0" w:color="auto"/>
                <w:bottom w:val="none" w:sz="0" w:space="0" w:color="auto"/>
                <w:right w:val="none" w:sz="0" w:space="0" w:color="auto"/>
              </w:divBdr>
              <w:divsChild>
                <w:div w:id="1946422539">
                  <w:marLeft w:val="0"/>
                  <w:marRight w:val="0"/>
                  <w:marTop w:val="0"/>
                  <w:marBottom w:val="0"/>
                  <w:divBdr>
                    <w:top w:val="none" w:sz="0" w:space="0" w:color="auto"/>
                    <w:left w:val="none" w:sz="0" w:space="0" w:color="auto"/>
                    <w:bottom w:val="none" w:sz="0" w:space="0" w:color="auto"/>
                    <w:right w:val="none" w:sz="0" w:space="0" w:color="auto"/>
                  </w:divBdr>
                  <w:divsChild>
                    <w:div w:id="233584693">
                      <w:marLeft w:val="0"/>
                      <w:marRight w:val="0"/>
                      <w:marTop w:val="0"/>
                      <w:marBottom w:val="0"/>
                      <w:divBdr>
                        <w:top w:val="none" w:sz="0" w:space="0" w:color="auto"/>
                        <w:left w:val="none" w:sz="0" w:space="0" w:color="auto"/>
                        <w:bottom w:val="none" w:sz="0" w:space="0" w:color="auto"/>
                        <w:right w:val="none" w:sz="0" w:space="0" w:color="auto"/>
                      </w:divBdr>
                      <w:divsChild>
                        <w:div w:id="913248264">
                          <w:marLeft w:val="0"/>
                          <w:marRight w:val="0"/>
                          <w:marTop w:val="0"/>
                          <w:marBottom w:val="0"/>
                          <w:divBdr>
                            <w:top w:val="none" w:sz="0" w:space="0" w:color="auto"/>
                            <w:left w:val="none" w:sz="0" w:space="0" w:color="auto"/>
                            <w:bottom w:val="none" w:sz="0" w:space="0" w:color="auto"/>
                            <w:right w:val="none" w:sz="0" w:space="0" w:color="auto"/>
                          </w:divBdr>
                          <w:divsChild>
                            <w:div w:id="1807971134">
                              <w:marLeft w:val="0"/>
                              <w:marRight w:val="0"/>
                              <w:marTop w:val="0"/>
                              <w:marBottom w:val="0"/>
                              <w:divBdr>
                                <w:top w:val="none" w:sz="0" w:space="0" w:color="auto"/>
                                <w:left w:val="none" w:sz="0" w:space="0" w:color="auto"/>
                                <w:bottom w:val="none" w:sz="0" w:space="0" w:color="auto"/>
                                <w:right w:val="none" w:sz="0" w:space="0" w:color="auto"/>
                              </w:divBdr>
                              <w:divsChild>
                                <w:div w:id="1677343431">
                                  <w:marLeft w:val="0"/>
                                  <w:marRight w:val="0"/>
                                  <w:marTop w:val="0"/>
                                  <w:marBottom w:val="0"/>
                                  <w:divBdr>
                                    <w:top w:val="single" w:sz="4" w:space="0" w:color="F5F5F5"/>
                                    <w:left w:val="single" w:sz="4" w:space="0" w:color="F5F5F5"/>
                                    <w:bottom w:val="single" w:sz="4" w:space="0" w:color="F5F5F5"/>
                                    <w:right w:val="single" w:sz="4" w:space="0" w:color="F5F5F5"/>
                                  </w:divBdr>
                                  <w:divsChild>
                                    <w:div w:id="893614865">
                                      <w:marLeft w:val="0"/>
                                      <w:marRight w:val="0"/>
                                      <w:marTop w:val="0"/>
                                      <w:marBottom w:val="0"/>
                                      <w:divBdr>
                                        <w:top w:val="none" w:sz="0" w:space="0" w:color="auto"/>
                                        <w:left w:val="none" w:sz="0" w:space="0" w:color="auto"/>
                                        <w:bottom w:val="none" w:sz="0" w:space="0" w:color="auto"/>
                                        <w:right w:val="none" w:sz="0" w:space="0" w:color="auto"/>
                                      </w:divBdr>
                                      <w:divsChild>
                                        <w:div w:id="120274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6410159">
      <w:bodyDiv w:val="1"/>
      <w:marLeft w:val="0"/>
      <w:marRight w:val="0"/>
      <w:marTop w:val="0"/>
      <w:marBottom w:val="0"/>
      <w:divBdr>
        <w:top w:val="none" w:sz="0" w:space="0" w:color="auto"/>
        <w:left w:val="none" w:sz="0" w:space="0" w:color="auto"/>
        <w:bottom w:val="none" w:sz="0" w:space="0" w:color="auto"/>
        <w:right w:val="none" w:sz="0" w:space="0" w:color="auto"/>
      </w:divBdr>
      <w:divsChild>
        <w:div w:id="512109428">
          <w:marLeft w:val="0"/>
          <w:marRight w:val="0"/>
          <w:marTop w:val="0"/>
          <w:marBottom w:val="0"/>
          <w:divBdr>
            <w:top w:val="none" w:sz="0" w:space="0" w:color="auto"/>
            <w:left w:val="none" w:sz="0" w:space="0" w:color="auto"/>
            <w:bottom w:val="none" w:sz="0" w:space="0" w:color="auto"/>
            <w:right w:val="none" w:sz="0" w:space="0" w:color="auto"/>
          </w:divBdr>
          <w:divsChild>
            <w:div w:id="953948296">
              <w:marLeft w:val="0"/>
              <w:marRight w:val="0"/>
              <w:marTop w:val="0"/>
              <w:marBottom w:val="0"/>
              <w:divBdr>
                <w:top w:val="none" w:sz="0" w:space="0" w:color="auto"/>
                <w:left w:val="none" w:sz="0" w:space="0" w:color="auto"/>
                <w:bottom w:val="none" w:sz="0" w:space="0" w:color="auto"/>
                <w:right w:val="none" w:sz="0" w:space="0" w:color="auto"/>
              </w:divBdr>
              <w:divsChild>
                <w:div w:id="81725689">
                  <w:marLeft w:val="0"/>
                  <w:marRight w:val="0"/>
                  <w:marTop w:val="0"/>
                  <w:marBottom w:val="0"/>
                  <w:divBdr>
                    <w:top w:val="none" w:sz="0" w:space="0" w:color="auto"/>
                    <w:left w:val="none" w:sz="0" w:space="0" w:color="auto"/>
                    <w:bottom w:val="none" w:sz="0" w:space="0" w:color="auto"/>
                    <w:right w:val="none" w:sz="0" w:space="0" w:color="auto"/>
                  </w:divBdr>
                  <w:divsChild>
                    <w:div w:id="1523543618">
                      <w:marLeft w:val="0"/>
                      <w:marRight w:val="0"/>
                      <w:marTop w:val="0"/>
                      <w:marBottom w:val="0"/>
                      <w:divBdr>
                        <w:top w:val="none" w:sz="0" w:space="0" w:color="auto"/>
                        <w:left w:val="none" w:sz="0" w:space="0" w:color="auto"/>
                        <w:bottom w:val="none" w:sz="0" w:space="0" w:color="auto"/>
                        <w:right w:val="none" w:sz="0" w:space="0" w:color="auto"/>
                      </w:divBdr>
                      <w:divsChild>
                        <w:div w:id="1430924951">
                          <w:marLeft w:val="0"/>
                          <w:marRight w:val="0"/>
                          <w:marTop w:val="0"/>
                          <w:marBottom w:val="0"/>
                          <w:divBdr>
                            <w:top w:val="none" w:sz="0" w:space="0" w:color="auto"/>
                            <w:left w:val="none" w:sz="0" w:space="0" w:color="auto"/>
                            <w:bottom w:val="none" w:sz="0" w:space="0" w:color="auto"/>
                            <w:right w:val="none" w:sz="0" w:space="0" w:color="auto"/>
                          </w:divBdr>
                          <w:divsChild>
                            <w:div w:id="257834391">
                              <w:marLeft w:val="0"/>
                              <w:marRight w:val="0"/>
                              <w:marTop w:val="0"/>
                              <w:marBottom w:val="0"/>
                              <w:divBdr>
                                <w:top w:val="none" w:sz="0" w:space="0" w:color="auto"/>
                                <w:left w:val="none" w:sz="0" w:space="0" w:color="auto"/>
                                <w:bottom w:val="none" w:sz="0" w:space="0" w:color="auto"/>
                                <w:right w:val="none" w:sz="0" w:space="0" w:color="auto"/>
                              </w:divBdr>
                              <w:divsChild>
                                <w:div w:id="1887907473">
                                  <w:marLeft w:val="0"/>
                                  <w:marRight w:val="0"/>
                                  <w:marTop w:val="0"/>
                                  <w:marBottom w:val="0"/>
                                  <w:divBdr>
                                    <w:top w:val="single" w:sz="4" w:space="0" w:color="F5F5F5"/>
                                    <w:left w:val="single" w:sz="4" w:space="0" w:color="F5F5F5"/>
                                    <w:bottom w:val="single" w:sz="4" w:space="0" w:color="F5F5F5"/>
                                    <w:right w:val="single" w:sz="4" w:space="0" w:color="F5F5F5"/>
                                  </w:divBdr>
                                  <w:divsChild>
                                    <w:div w:id="1331912854">
                                      <w:marLeft w:val="0"/>
                                      <w:marRight w:val="0"/>
                                      <w:marTop w:val="0"/>
                                      <w:marBottom w:val="0"/>
                                      <w:divBdr>
                                        <w:top w:val="none" w:sz="0" w:space="0" w:color="auto"/>
                                        <w:left w:val="none" w:sz="0" w:space="0" w:color="auto"/>
                                        <w:bottom w:val="none" w:sz="0" w:space="0" w:color="auto"/>
                                        <w:right w:val="none" w:sz="0" w:space="0" w:color="auto"/>
                                      </w:divBdr>
                                      <w:divsChild>
                                        <w:div w:id="156942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6994167">
      <w:bodyDiv w:val="1"/>
      <w:marLeft w:val="0"/>
      <w:marRight w:val="0"/>
      <w:marTop w:val="0"/>
      <w:marBottom w:val="0"/>
      <w:divBdr>
        <w:top w:val="none" w:sz="0" w:space="0" w:color="auto"/>
        <w:left w:val="none" w:sz="0" w:space="0" w:color="auto"/>
        <w:bottom w:val="none" w:sz="0" w:space="0" w:color="auto"/>
        <w:right w:val="none" w:sz="0" w:space="0" w:color="auto"/>
      </w:divBdr>
      <w:divsChild>
        <w:div w:id="800347016">
          <w:marLeft w:val="0"/>
          <w:marRight w:val="0"/>
          <w:marTop w:val="0"/>
          <w:marBottom w:val="0"/>
          <w:divBdr>
            <w:top w:val="none" w:sz="0" w:space="0" w:color="auto"/>
            <w:left w:val="none" w:sz="0" w:space="0" w:color="auto"/>
            <w:bottom w:val="none" w:sz="0" w:space="0" w:color="auto"/>
            <w:right w:val="none" w:sz="0" w:space="0" w:color="auto"/>
          </w:divBdr>
          <w:divsChild>
            <w:div w:id="2116822380">
              <w:marLeft w:val="0"/>
              <w:marRight w:val="0"/>
              <w:marTop w:val="0"/>
              <w:marBottom w:val="0"/>
              <w:divBdr>
                <w:top w:val="none" w:sz="0" w:space="0" w:color="auto"/>
                <w:left w:val="none" w:sz="0" w:space="0" w:color="auto"/>
                <w:bottom w:val="none" w:sz="0" w:space="0" w:color="auto"/>
                <w:right w:val="none" w:sz="0" w:space="0" w:color="auto"/>
              </w:divBdr>
              <w:divsChild>
                <w:div w:id="1717927751">
                  <w:marLeft w:val="0"/>
                  <w:marRight w:val="0"/>
                  <w:marTop w:val="0"/>
                  <w:marBottom w:val="0"/>
                  <w:divBdr>
                    <w:top w:val="none" w:sz="0" w:space="0" w:color="auto"/>
                    <w:left w:val="none" w:sz="0" w:space="0" w:color="auto"/>
                    <w:bottom w:val="none" w:sz="0" w:space="0" w:color="auto"/>
                    <w:right w:val="none" w:sz="0" w:space="0" w:color="auto"/>
                  </w:divBdr>
                  <w:divsChild>
                    <w:div w:id="469371594">
                      <w:marLeft w:val="0"/>
                      <w:marRight w:val="0"/>
                      <w:marTop w:val="0"/>
                      <w:marBottom w:val="0"/>
                      <w:divBdr>
                        <w:top w:val="none" w:sz="0" w:space="0" w:color="auto"/>
                        <w:left w:val="none" w:sz="0" w:space="0" w:color="auto"/>
                        <w:bottom w:val="none" w:sz="0" w:space="0" w:color="auto"/>
                        <w:right w:val="none" w:sz="0" w:space="0" w:color="auto"/>
                      </w:divBdr>
                      <w:divsChild>
                        <w:div w:id="936717606">
                          <w:marLeft w:val="0"/>
                          <w:marRight w:val="0"/>
                          <w:marTop w:val="0"/>
                          <w:marBottom w:val="0"/>
                          <w:divBdr>
                            <w:top w:val="none" w:sz="0" w:space="0" w:color="auto"/>
                            <w:left w:val="none" w:sz="0" w:space="0" w:color="auto"/>
                            <w:bottom w:val="none" w:sz="0" w:space="0" w:color="auto"/>
                            <w:right w:val="none" w:sz="0" w:space="0" w:color="auto"/>
                          </w:divBdr>
                          <w:divsChild>
                            <w:div w:id="561988784">
                              <w:marLeft w:val="0"/>
                              <w:marRight w:val="0"/>
                              <w:marTop w:val="0"/>
                              <w:marBottom w:val="0"/>
                              <w:divBdr>
                                <w:top w:val="none" w:sz="0" w:space="0" w:color="auto"/>
                                <w:left w:val="none" w:sz="0" w:space="0" w:color="auto"/>
                                <w:bottom w:val="none" w:sz="0" w:space="0" w:color="auto"/>
                                <w:right w:val="none" w:sz="0" w:space="0" w:color="auto"/>
                              </w:divBdr>
                              <w:divsChild>
                                <w:div w:id="130027158">
                                  <w:marLeft w:val="0"/>
                                  <w:marRight w:val="0"/>
                                  <w:marTop w:val="0"/>
                                  <w:marBottom w:val="0"/>
                                  <w:divBdr>
                                    <w:top w:val="single" w:sz="4" w:space="0" w:color="F5F5F5"/>
                                    <w:left w:val="single" w:sz="4" w:space="0" w:color="F5F5F5"/>
                                    <w:bottom w:val="single" w:sz="4" w:space="0" w:color="F5F5F5"/>
                                    <w:right w:val="single" w:sz="4" w:space="0" w:color="F5F5F5"/>
                                  </w:divBdr>
                                  <w:divsChild>
                                    <w:div w:id="2128038827">
                                      <w:marLeft w:val="0"/>
                                      <w:marRight w:val="0"/>
                                      <w:marTop w:val="0"/>
                                      <w:marBottom w:val="0"/>
                                      <w:divBdr>
                                        <w:top w:val="none" w:sz="0" w:space="0" w:color="auto"/>
                                        <w:left w:val="none" w:sz="0" w:space="0" w:color="auto"/>
                                        <w:bottom w:val="none" w:sz="0" w:space="0" w:color="auto"/>
                                        <w:right w:val="none" w:sz="0" w:space="0" w:color="auto"/>
                                      </w:divBdr>
                                      <w:divsChild>
                                        <w:div w:id="3315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3688316">
      <w:bodyDiv w:val="1"/>
      <w:marLeft w:val="0"/>
      <w:marRight w:val="0"/>
      <w:marTop w:val="0"/>
      <w:marBottom w:val="0"/>
      <w:divBdr>
        <w:top w:val="none" w:sz="0" w:space="0" w:color="auto"/>
        <w:left w:val="none" w:sz="0" w:space="0" w:color="auto"/>
        <w:bottom w:val="none" w:sz="0" w:space="0" w:color="auto"/>
        <w:right w:val="none" w:sz="0" w:space="0" w:color="auto"/>
      </w:divBdr>
      <w:divsChild>
        <w:div w:id="2146971946">
          <w:marLeft w:val="0"/>
          <w:marRight w:val="0"/>
          <w:marTop w:val="0"/>
          <w:marBottom w:val="0"/>
          <w:divBdr>
            <w:top w:val="none" w:sz="0" w:space="0" w:color="auto"/>
            <w:left w:val="none" w:sz="0" w:space="0" w:color="auto"/>
            <w:bottom w:val="none" w:sz="0" w:space="0" w:color="auto"/>
            <w:right w:val="none" w:sz="0" w:space="0" w:color="auto"/>
          </w:divBdr>
          <w:divsChild>
            <w:div w:id="1514957361">
              <w:marLeft w:val="0"/>
              <w:marRight w:val="0"/>
              <w:marTop w:val="0"/>
              <w:marBottom w:val="0"/>
              <w:divBdr>
                <w:top w:val="none" w:sz="0" w:space="0" w:color="auto"/>
                <w:left w:val="none" w:sz="0" w:space="0" w:color="auto"/>
                <w:bottom w:val="none" w:sz="0" w:space="0" w:color="auto"/>
                <w:right w:val="none" w:sz="0" w:space="0" w:color="auto"/>
              </w:divBdr>
              <w:divsChild>
                <w:div w:id="535897817">
                  <w:marLeft w:val="0"/>
                  <w:marRight w:val="0"/>
                  <w:marTop w:val="0"/>
                  <w:marBottom w:val="0"/>
                  <w:divBdr>
                    <w:top w:val="none" w:sz="0" w:space="0" w:color="auto"/>
                    <w:left w:val="none" w:sz="0" w:space="0" w:color="auto"/>
                    <w:bottom w:val="none" w:sz="0" w:space="0" w:color="auto"/>
                    <w:right w:val="none" w:sz="0" w:space="0" w:color="auto"/>
                  </w:divBdr>
                  <w:divsChild>
                    <w:div w:id="687566309">
                      <w:marLeft w:val="0"/>
                      <w:marRight w:val="0"/>
                      <w:marTop w:val="0"/>
                      <w:marBottom w:val="0"/>
                      <w:divBdr>
                        <w:top w:val="none" w:sz="0" w:space="0" w:color="auto"/>
                        <w:left w:val="none" w:sz="0" w:space="0" w:color="auto"/>
                        <w:bottom w:val="none" w:sz="0" w:space="0" w:color="auto"/>
                        <w:right w:val="none" w:sz="0" w:space="0" w:color="auto"/>
                      </w:divBdr>
                      <w:divsChild>
                        <w:div w:id="612325830">
                          <w:marLeft w:val="0"/>
                          <w:marRight w:val="0"/>
                          <w:marTop w:val="0"/>
                          <w:marBottom w:val="0"/>
                          <w:divBdr>
                            <w:top w:val="none" w:sz="0" w:space="0" w:color="auto"/>
                            <w:left w:val="none" w:sz="0" w:space="0" w:color="auto"/>
                            <w:bottom w:val="none" w:sz="0" w:space="0" w:color="auto"/>
                            <w:right w:val="none" w:sz="0" w:space="0" w:color="auto"/>
                          </w:divBdr>
                          <w:divsChild>
                            <w:div w:id="166942840">
                              <w:marLeft w:val="0"/>
                              <w:marRight w:val="0"/>
                              <w:marTop w:val="0"/>
                              <w:marBottom w:val="0"/>
                              <w:divBdr>
                                <w:top w:val="none" w:sz="0" w:space="0" w:color="auto"/>
                                <w:left w:val="none" w:sz="0" w:space="0" w:color="auto"/>
                                <w:bottom w:val="none" w:sz="0" w:space="0" w:color="auto"/>
                                <w:right w:val="none" w:sz="0" w:space="0" w:color="auto"/>
                              </w:divBdr>
                              <w:divsChild>
                                <w:div w:id="60057944">
                                  <w:marLeft w:val="0"/>
                                  <w:marRight w:val="0"/>
                                  <w:marTop w:val="0"/>
                                  <w:marBottom w:val="0"/>
                                  <w:divBdr>
                                    <w:top w:val="single" w:sz="6" w:space="0" w:color="F5F5F5"/>
                                    <w:left w:val="single" w:sz="6" w:space="0" w:color="F5F5F5"/>
                                    <w:bottom w:val="single" w:sz="6" w:space="0" w:color="F5F5F5"/>
                                    <w:right w:val="single" w:sz="6" w:space="0" w:color="F5F5F5"/>
                                  </w:divBdr>
                                  <w:divsChild>
                                    <w:div w:id="1745488263">
                                      <w:marLeft w:val="0"/>
                                      <w:marRight w:val="0"/>
                                      <w:marTop w:val="0"/>
                                      <w:marBottom w:val="0"/>
                                      <w:divBdr>
                                        <w:top w:val="none" w:sz="0" w:space="0" w:color="auto"/>
                                        <w:left w:val="none" w:sz="0" w:space="0" w:color="auto"/>
                                        <w:bottom w:val="none" w:sz="0" w:space="0" w:color="auto"/>
                                        <w:right w:val="none" w:sz="0" w:space="0" w:color="auto"/>
                                      </w:divBdr>
                                      <w:divsChild>
                                        <w:div w:id="83191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7412938">
      <w:bodyDiv w:val="1"/>
      <w:marLeft w:val="0"/>
      <w:marRight w:val="0"/>
      <w:marTop w:val="0"/>
      <w:marBottom w:val="0"/>
      <w:divBdr>
        <w:top w:val="none" w:sz="0" w:space="0" w:color="auto"/>
        <w:left w:val="none" w:sz="0" w:space="0" w:color="auto"/>
        <w:bottom w:val="none" w:sz="0" w:space="0" w:color="auto"/>
        <w:right w:val="none" w:sz="0" w:space="0" w:color="auto"/>
      </w:divBdr>
      <w:divsChild>
        <w:div w:id="2093356582">
          <w:marLeft w:val="0"/>
          <w:marRight w:val="0"/>
          <w:marTop w:val="0"/>
          <w:marBottom w:val="0"/>
          <w:divBdr>
            <w:top w:val="none" w:sz="0" w:space="0" w:color="auto"/>
            <w:left w:val="none" w:sz="0" w:space="0" w:color="auto"/>
            <w:bottom w:val="none" w:sz="0" w:space="0" w:color="auto"/>
            <w:right w:val="none" w:sz="0" w:space="0" w:color="auto"/>
          </w:divBdr>
          <w:divsChild>
            <w:div w:id="1790584985">
              <w:marLeft w:val="0"/>
              <w:marRight w:val="0"/>
              <w:marTop w:val="0"/>
              <w:marBottom w:val="0"/>
              <w:divBdr>
                <w:top w:val="none" w:sz="0" w:space="0" w:color="auto"/>
                <w:left w:val="none" w:sz="0" w:space="0" w:color="auto"/>
                <w:bottom w:val="none" w:sz="0" w:space="0" w:color="auto"/>
                <w:right w:val="none" w:sz="0" w:space="0" w:color="auto"/>
              </w:divBdr>
              <w:divsChild>
                <w:div w:id="1682662860">
                  <w:marLeft w:val="0"/>
                  <w:marRight w:val="0"/>
                  <w:marTop w:val="0"/>
                  <w:marBottom w:val="0"/>
                  <w:divBdr>
                    <w:top w:val="none" w:sz="0" w:space="0" w:color="auto"/>
                    <w:left w:val="none" w:sz="0" w:space="0" w:color="auto"/>
                    <w:bottom w:val="none" w:sz="0" w:space="0" w:color="auto"/>
                    <w:right w:val="none" w:sz="0" w:space="0" w:color="auto"/>
                  </w:divBdr>
                  <w:divsChild>
                    <w:div w:id="980690429">
                      <w:marLeft w:val="0"/>
                      <w:marRight w:val="0"/>
                      <w:marTop w:val="0"/>
                      <w:marBottom w:val="0"/>
                      <w:divBdr>
                        <w:top w:val="none" w:sz="0" w:space="0" w:color="auto"/>
                        <w:left w:val="none" w:sz="0" w:space="0" w:color="auto"/>
                        <w:bottom w:val="none" w:sz="0" w:space="0" w:color="auto"/>
                        <w:right w:val="none" w:sz="0" w:space="0" w:color="auto"/>
                      </w:divBdr>
                      <w:divsChild>
                        <w:div w:id="1381712228">
                          <w:marLeft w:val="0"/>
                          <w:marRight w:val="0"/>
                          <w:marTop w:val="0"/>
                          <w:marBottom w:val="0"/>
                          <w:divBdr>
                            <w:top w:val="none" w:sz="0" w:space="0" w:color="auto"/>
                            <w:left w:val="none" w:sz="0" w:space="0" w:color="auto"/>
                            <w:bottom w:val="none" w:sz="0" w:space="0" w:color="auto"/>
                            <w:right w:val="none" w:sz="0" w:space="0" w:color="auto"/>
                          </w:divBdr>
                          <w:divsChild>
                            <w:div w:id="458886787">
                              <w:marLeft w:val="0"/>
                              <w:marRight w:val="0"/>
                              <w:marTop w:val="0"/>
                              <w:marBottom w:val="0"/>
                              <w:divBdr>
                                <w:top w:val="none" w:sz="0" w:space="0" w:color="auto"/>
                                <w:left w:val="none" w:sz="0" w:space="0" w:color="auto"/>
                                <w:bottom w:val="none" w:sz="0" w:space="0" w:color="auto"/>
                                <w:right w:val="none" w:sz="0" w:space="0" w:color="auto"/>
                              </w:divBdr>
                              <w:divsChild>
                                <w:div w:id="1157069596">
                                  <w:marLeft w:val="0"/>
                                  <w:marRight w:val="0"/>
                                  <w:marTop w:val="0"/>
                                  <w:marBottom w:val="0"/>
                                  <w:divBdr>
                                    <w:top w:val="single" w:sz="6" w:space="0" w:color="F5F5F5"/>
                                    <w:left w:val="single" w:sz="6" w:space="0" w:color="F5F5F5"/>
                                    <w:bottom w:val="single" w:sz="6" w:space="0" w:color="F5F5F5"/>
                                    <w:right w:val="single" w:sz="6" w:space="0" w:color="F5F5F5"/>
                                  </w:divBdr>
                                  <w:divsChild>
                                    <w:div w:id="1489244186">
                                      <w:marLeft w:val="0"/>
                                      <w:marRight w:val="0"/>
                                      <w:marTop w:val="0"/>
                                      <w:marBottom w:val="0"/>
                                      <w:divBdr>
                                        <w:top w:val="none" w:sz="0" w:space="0" w:color="auto"/>
                                        <w:left w:val="none" w:sz="0" w:space="0" w:color="auto"/>
                                        <w:bottom w:val="none" w:sz="0" w:space="0" w:color="auto"/>
                                        <w:right w:val="none" w:sz="0" w:space="0" w:color="auto"/>
                                      </w:divBdr>
                                      <w:divsChild>
                                        <w:div w:id="98521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3894246">
      <w:bodyDiv w:val="1"/>
      <w:marLeft w:val="0"/>
      <w:marRight w:val="0"/>
      <w:marTop w:val="0"/>
      <w:marBottom w:val="0"/>
      <w:divBdr>
        <w:top w:val="none" w:sz="0" w:space="0" w:color="auto"/>
        <w:left w:val="none" w:sz="0" w:space="0" w:color="auto"/>
        <w:bottom w:val="none" w:sz="0" w:space="0" w:color="auto"/>
        <w:right w:val="none" w:sz="0" w:space="0" w:color="auto"/>
      </w:divBdr>
      <w:divsChild>
        <w:div w:id="2138990254">
          <w:marLeft w:val="0"/>
          <w:marRight w:val="0"/>
          <w:marTop w:val="0"/>
          <w:marBottom w:val="0"/>
          <w:divBdr>
            <w:top w:val="none" w:sz="0" w:space="0" w:color="auto"/>
            <w:left w:val="none" w:sz="0" w:space="0" w:color="auto"/>
            <w:bottom w:val="none" w:sz="0" w:space="0" w:color="auto"/>
            <w:right w:val="none" w:sz="0" w:space="0" w:color="auto"/>
          </w:divBdr>
          <w:divsChild>
            <w:div w:id="360087100">
              <w:marLeft w:val="0"/>
              <w:marRight w:val="0"/>
              <w:marTop w:val="0"/>
              <w:marBottom w:val="0"/>
              <w:divBdr>
                <w:top w:val="none" w:sz="0" w:space="0" w:color="auto"/>
                <w:left w:val="none" w:sz="0" w:space="0" w:color="auto"/>
                <w:bottom w:val="none" w:sz="0" w:space="0" w:color="auto"/>
                <w:right w:val="none" w:sz="0" w:space="0" w:color="auto"/>
              </w:divBdr>
              <w:divsChild>
                <w:div w:id="1679845043">
                  <w:marLeft w:val="0"/>
                  <w:marRight w:val="0"/>
                  <w:marTop w:val="0"/>
                  <w:marBottom w:val="0"/>
                  <w:divBdr>
                    <w:top w:val="none" w:sz="0" w:space="0" w:color="auto"/>
                    <w:left w:val="none" w:sz="0" w:space="0" w:color="auto"/>
                    <w:bottom w:val="none" w:sz="0" w:space="0" w:color="auto"/>
                    <w:right w:val="none" w:sz="0" w:space="0" w:color="auto"/>
                  </w:divBdr>
                  <w:divsChild>
                    <w:div w:id="2071690318">
                      <w:marLeft w:val="0"/>
                      <w:marRight w:val="0"/>
                      <w:marTop w:val="0"/>
                      <w:marBottom w:val="0"/>
                      <w:divBdr>
                        <w:top w:val="none" w:sz="0" w:space="0" w:color="auto"/>
                        <w:left w:val="none" w:sz="0" w:space="0" w:color="auto"/>
                        <w:bottom w:val="none" w:sz="0" w:space="0" w:color="auto"/>
                        <w:right w:val="none" w:sz="0" w:space="0" w:color="auto"/>
                      </w:divBdr>
                      <w:divsChild>
                        <w:div w:id="1267689292">
                          <w:marLeft w:val="0"/>
                          <w:marRight w:val="0"/>
                          <w:marTop w:val="0"/>
                          <w:marBottom w:val="0"/>
                          <w:divBdr>
                            <w:top w:val="none" w:sz="0" w:space="0" w:color="auto"/>
                            <w:left w:val="none" w:sz="0" w:space="0" w:color="auto"/>
                            <w:bottom w:val="none" w:sz="0" w:space="0" w:color="auto"/>
                            <w:right w:val="none" w:sz="0" w:space="0" w:color="auto"/>
                          </w:divBdr>
                          <w:divsChild>
                            <w:div w:id="1310330676">
                              <w:marLeft w:val="0"/>
                              <w:marRight w:val="0"/>
                              <w:marTop w:val="0"/>
                              <w:marBottom w:val="0"/>
                              <w:divBdr>
                                <w:top w:val="none" w:sz="0" w:space="0" w:color="auto"/>
                                <w:left w:val="none" w:sz="0" w:space="0" w:color="auto"/>
                                <w:bottom w:val="none" w:sz="0" w:space="0" w:color="auto"/>
                                <w:right w:val="none" w:sz="0" w:space="0" w:color="auto"/>
                              </w:divBdr>
                              <w:divsChild>
                                <w:div w:id="620382488">
                                  <w:marLeft w:val="0"/>
                                  <w:marRight w:val="0"/>
                                  <w:marTop w:val="0"/>
                                  <w:marBottom w:val="0"/>
                                  <w:divBdr>
                                    <w:top w:val="single" w:sz="4" w:space="0" w:color="F5F5F5"/>
                                    <w:left w:val="single" w:sz="4" w:space="0" w:color="F5F5F5"/>
                                    <w:bottom w:val="single" w:sz="4" w:space="0" w:color="F5F5F5"/>
                                    <w:right w:val="single" w:sz="4" w:space="0" w:color="F5F5F5"/>
                                  </w:divBdr>
                                  <w:divsChild>
                                    <w:div w:id="2053459484">
                                      <w:marLeft w:val="0"/>
                                      <w:marRight w:val="0"/>
                                      <w:marTop w:val="0"/>
                                      <w:marBottom w:val="0"/>
                                      <w:divBdr>
                                        <w:top w:val="none" w:sz="0" w:space="0" w:color="auto"/>
                                        <w:left w:val="none" w:sz="0" w:space="0" w:color="auto"/>
                                        <w:bottom w:val="none" w:sz="0" w:space="0" w:color="auto"/>
                                        <w:right w:val="none" w:sz="0" w:space="0" w:color="auto"/>
                                      </w:divBdr>
                                      <w:divsChild>
                                        <w:div w:id="206694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5164210">
      <w:bodyDiv w:val="1"/>
      <w:marLeft w:val="0"/>
      <w:marRight w:val="0"/>
      <w:marTop w:val="0"/>
      <w:marBottom w:val="0"/>
      <w:divBdr>
        <w:top w:val="none" w:sz="0" w:space="0" w:color="auto"/>
        <w:left w:val="none" w:sz="0" w:space="0" w:color="auto"/>
        <w:bottom w:val="none" w:sz="0" w:space="0" w:color="auto"/>
        <w:right w:val="none" w:sz="0" w:space="0" w:color="auto"/>
      </w:divBdr>
      <w:divsChild>
        <w:div w:id="1209605802">
          <w:marLeft w:val="0"/>
          <w:marRight w:val="0"/>
          <w:marTop w:val="0"/>
          <w:marBottom w:val="0"/>
          <w:divBdr>
            <w:top w:val="none" w:sz="0" w:space="0" w:color="auto"/>
            <w:left w:val="none" w:sz="0" w:space="0" w:color="auto"/>
            <w:bottom w:val="none" w:sz="0" w:space="0" w:color="auto"/>
            <w:right w:val="none" w:sz="0" w:space="0" w:color="auto"/>
          </w:divBdr>
          <w:divsChild>
            <w:div w:id="96949052">
              <w:marLeft w:val="0"/>
              <w:marRight w:val="0"/>
              <w:marTop w:val="0"/>
              <w:marBottom w:val="0"/>
              <w:divBdr>
                <w:top w:val="none" w:sz="0" w:space="0" w:color="auto"/>
                <w:left w:val="none" w:sz="0" w:space="0" w:color="auto"/>
                <w:bottom w:val="none" w:sz="0" w:space="0" w:color="auto"/>
                <w:right w:val="none" w:sz="0" w:space="0" w:color="auto"/>
              </w:divBdr>
              <w:divsChild>
                <w:div w:id="580988848">
                  <w:marLeft w:val="0"/>
                  <w:marRight w:val="0"/>
                  <w:marTop w:val="0"/>
                  <w:marBottom w:val="0"/>
                  <w:divBdr>
                    <w:top w:val="none" w:sz="0" w:space="0" w:color="auto"/>
                    <w:left w:val="none" w:sz="0" w:space="0" w:color="auto"/>
                    <w:bottom w:val="none" w:sz="0" w:space="0" w:color="auto"/>
                    <w:right w:val="none" w:sz="0" w:space="0" w:color="auto"/>
                  </w:divBdr>
                  <w:divsChild>
                    <w:div w:id="246036568">
                      <w:marLeft w:val="0"/>
                      <w:marRight w:val="0"/>
                      <w:marTop w:val="0"/>
                      <w:marBottom w:val="0"/>
                      <w:divBdr>
                        <w:top w:val="none" w:sz="0" w:space="0" w:color="auto"/>
                        <w:left w:val="none" w:sz="0" w:space="0" w:color="auto"/>
                        <w:bottom w:val="none" w:sz="0" w:space="0" w:color="auto"/>
                        <w:right w:val="none" w:sz="0" w:space="0" w:color="auto"/>
                      </w:divBdr>
                      <w:divsChild>
                        <w:div w:id="1288393627">
                          <w:marLeft w:val="0"/>
                          <w:marRight w:val="0"/>
                          <w:marTop w:val="0"/>
                          <w:marBottom w:val="0"/>
                          <w:divBdr>
                            <w:top w:val="none" w:sz="0" w:space="0" w:color="auto"/>
                            <w:left w:val="none" w:sz="0" w:space="0" w:color="auto"/>
                            <w:bottom w:val="none" w:sz="0" w:space="0" w:color="auto"/>
                            <w:right w:val="none" w:sz="0" w:space="0" w:color="auto"/>
                          </w:divBdr>
                          <w:divsChild>
                            <w:div w:id="1849828413">
                              <w:marLeft w:val="0"/>
                              <w:marRight w:val="0"/>
                              <w:marTop w:val="0"/>
                              <w:marBottom w:val="0"/>
                              <w:divBdr>
                                <w:top w:val="none" w:sz="0" w:space="0" w:color="auto"/>
                                <w:left w:val="none" w:sz="0" w:space="0" w:color="auto"/>
                                <w:bottom w:val="none" w:sz="0" w:space="0" w:color="auto"/>
                                <w:right w:val="none" w:sz="0" w:space="0" w:color="auto"/>
                              </w:divBdr>
                              <w:divsChild>
                                <w:div w:id="1636064892">
                                  <w:marLeft w:val="0"/>
                                  <w:marRight w:val="0"/>
                                  <w:marTop w:val="0"/>
                                  <w:marBottom w:val="0"/>
                                  <w:divBdr>
                                    <w:top w:val="single" w:sz="4" w:space="0" w:color="F5F5F5"/>
                                    <w:left w:val="single" w:sz="4" w:space="0" w:color="F5F5F5"/>
                                    <w:bottom w:val="single" w:sz="4" w:space="0" w:color="F5F5F5"/>
                                    <w:right w:val="single" w:sz="4" w:space="0" w:color="F5F5F5"/>
                                  </w:divBdr>
                                  <w:divsChild>
                                    <w:div w:id="364599201">
                                      <w:marLeft w:val="0"/>
                                      <w:marRight w:val="0"/>
                                      <w:marTop w:val="0"/>
                                      <w:marBottom w:val="0"/>
                                      <w:divBdr>
                                        <w:top w:val="none" w:sz="0" w:space="0" w:color="auto"/>
                                        <w:left w:val="none" w:sz="0" w:space="0" w:color="auto"/>
                                        <w:bottom w:val="none" w:sz="0" w:space="0" w:color="auto"/>
                                        <w:right w:val="none" w:sz="0" w:space="0" w:color="auto"/>
                                      </w:divBdr>
                                      <w:divsChild>
                                        <w:div w:id="24650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3773226">
      <w:bodyDiv w:val="1"/>
      <w:marLeft w:val="0"/>
      <w:marRight w:val="0"/>
      <w:marTop w:val="0"/>
      <w:marBottom w:val="0"/>
      <w:divBdr>
        <w:top w:val="none" w:sz="0" w:space="0" w:color="auto"/>
        <w:left w:val="none" w:sz="0" w:space="0" w:color="auto"/>
        <w:bottom w:val="none" w:sz="0" w:space="0" w:color="auto"/>
        <w:right w:val="none" w:sz="0" w:space="0" w:color="auto"/>
      </w:divBdr>
      <w:divsChild>
        <w:div w:id="1739670625">
          <w:marLeft w:val="0"/>
          <w:marRight w:val="0"/>
          <w:marTop w:val="0"/>
          <w:marBottom w:val="0"/>
          <w:divBdr>
            <w:top w:val="none" w:sz="0" w:space="0" w:color="auto"/>
            <w:left w:val="none" w:sz="0" w:space="0" w:color="auto"/>
            <w:bottom w:val="none" w:sz="0" w:space="0" w:color="auto"/>
            <w:right w:val="none" w:sz="0" w:space="0" w:color="auto"/>
          </w:divBdr>
          <w:divsChild>
            <w:div w:id="41948481">
              <w:marLeft w:val="0"/>
              <w:marRight w:val="0"/>
              <w:marTop w:val="0"/>
              <w:marBottom w:val="0"/>
              <w:divBdr>
                <w:top w:val="none" w:sz="0" w:space="0" w:color="auto"/>
                <w:left w:val="none" w:sz="0" w:space="0" w:color="auto"/>
                <w:bottom w:val="none" w:sz="0" w:space="0" w:color="auto"/>
                <w:right w:val="none" w:sz="0" w:space="0" w:color="auto"/>
              </w:divBdr>
              <w:divsChild>
                <w:div w:id="891966396">
                  <w:marLeft w:val="0"/>
                  <w:marRight w:val="0"/>
                  <w:marTop w:val="0"/>
                  <w:marBottom w:val="0"/>
                  <w:divBdr>
                    <w:top w:val="none" w:sz="0" w:space="0" w:color="auto"/>
                    <w:left w:val="none" w:sz="0" w:space="0" w:color="auto"/>
                    <w:bottom w:val="none" w:sz="0" w:space="0" w:color="auto"/>
                    <w:right w:val="none" w:sz="0" w:space="0" w:color="auto"/>
                  </w:divBdr>
                  <w:divsChild>
                    <w:div w:id="627666866">
                      <w:marLeft w:val="0"/>
                      <w:marRight w:val="0"/>
                      <w:marTop w:val="0"/>
                      <w:marBottom w:val="0"/>
                      <w:divBdr>
                        <w:top w:val="none" w:sz="0" w:space="0" w:color="auto"/>
                        <w:left w:val="none" w:sz="0" w:space="0" w:color="auto"/>
                        <w:bottom w:val="none" w:sz="0" w:space="0" w:color="auto"/>
                        <w:right w:val="none" w:sz="0" w:space="0" w:color="auto"/>
                      </w:divBdr>
                      <w:divsChild>
                        <w:div w:id="491288528">
                          <w:marLeft w:val="0"/>
                          <w:marRight w:val="0"/>
                          <w:marTop w:val="0"/>
                          <w:marBottom w:val="0"/>
                          <w:divBdr>
                            <w:top w:val="none" w:sz="0" w:space="0" w:color="auto"/>
                            <w:left w:val="none" w:sz="0" w:space="0" w:color="auto"/>
                            <w:bottom w:val="none" w:sz="0" w:space="0" w:color="auto"/>
                            <w:right w:val="none" w:sz="0" w:space="0" w:color="auto"/>
                          </w:divBdr>
                          <w:divsChild>
                            <w:div w:id="682902223">
                              <w:marLeft w:val="0"/>
                              <w:marRight w:val="0"/>
                              <w:marTop w:val="0"/>
                              <w:marBottom w:val="0"/>
                              <w:divBdr>
                                <w:top w:val="none" w:sz="0" w:space="0" w:color="auto"/>
                                <w:left w:val="none" w:sz="0" w:space="0" w:color="auto"/>
                                <w:bottom w:val="none" w:sz="0" w:space="0" w:color="auto"/>
                                <w:right w:val="none" w:sz="0" w:space="0" w:color="auto"/>
                              </w:divBdr>
                              <w:divsChild>
                                <w:div w:id="729310259">
                                  <w:marLeft w:val="0"/>
                                  <w:marRight w:val="0"/>
                                  <w:marTop w:val="0"/>
                                  <w:marBottom w:val="0"/>
                                  <w:divBdr>
                                    <w:top w:val="single" w:sz="6" w:space="0" w:color="F5F5F5"/>
                                    <w:left w:val="single" w:sz="6" w:space="0" w:color="F5F5F5"/>
                                    <w:bottom w:val="single" w:sz="6" w:space="0" w:color="F5F5F5"/>
                                    <w:right w:val="single" w:sz="6" w:space="0" w:color="F5F5F5"/>
                                  </w:divBdr>
                                  <w:divsChild>
                                    <w:div w:id="1313438149">
                                      <w:marLeft w:val="0"/>
                                      <w:marRight w:val="0"/>
                                      <w:marTop w:val="0"/>
                                      <w:marBottom w:val="0"/>
                                      <w:divBdr>
                                        <w:top w:val="none" w:sz="0" w:space="0" w:color="auto"/>
                                        <w:left w:val="none" w:sz="0" w:space="0" w:color="auto"/>
                                        <w:bottom w:val="none" w:sz="0" w:space="0" w:color="auto"/>
                                        <w:right w:val="none" w:sz="0" w:space="0" w:color="auto"/>
                                      </w:divBdr>
                                      <w:divsChild>
                                        <w:div w:id="6410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5134875">
      <w:bodyDiv w:val="1"/>
      <w:marLeft w:val="0"/>
      <w:marRight w:val="0"/>
      <w:marTop w:val="0"/>
      <w:marBottom w:val="0"/>
      <w:divBdr>
        <w:top w:val="none" w:sz="0" w:space="0" w:color="auto"/>
        <w:left w:val="none" w:sz="0" w:space="0" w:color="auto"/>
        <w:bottom w:val="none" w:sz="0" w:space="0" w:color="auto"/>
        <w:right w:val="none" w:sz="0" w:space="0" w:color="auto"/>
      </w:divBdr>
      <w:divsChild>
        <w:div w:id="1547570400">
          <w:marLeft w:val="0"/>
          <w:marRight w:val="0"/>
          <w:marTop w:val="0"/>
          <w:marBottom w:val="0"/>
          <w:divBdr>
            <w:top w:val="none" w:sz="0" w:space="0" w:color="auto"/>
            <w:left w:val="none" w:sz="0" w:space="0" w:color="auto"/>
            <w:bottom w:val="none" w:sz="0" w:space="0" w:color="auto"/>
            <w:right w:val="none" w:sz="0" w:space="0" w:color="auto"/>
          </w:divBdr>
          <w:divsChild>
            <w:div w:id="1548225089">
              <w:marLeft w:val="0"/>
              <w:marRight w:val="0"/>
              <w:marTop w:val="0"/>
              <w:marBottom w:val="0"/>
              <w:divBdr>
                <w:top w:val="none" w:sz="0" w:space="0" w:color="auto"/>
                <w:left w:val="none" w:sz="0" w:space="0" w:color="auto"/>
                <w:bottom w:val="none" w:sz="0" w:space="0" w:color="auto"/>
                <w:right w:val="none" w:sz="0" w:space="0" w:color="auto"/>
              </w:divBdr>
              <w:divsChild>
                <w:div w:id="1648050136">
                  <w:marLeft w:val="0"/>
                  <w:marRight w:val="0"/>
                  <w:marTop w:val="0"/>
                  <w:marBottom w:val="0"/>
                  <w:divBdr>
                    <w:top w:val="none" w:sz="0" w:space="0" w:color="auto"/>
                    <w:left w:val="none" w:sz="0" w:space="0" w:color="auto"/>
                    <w:bottom w:val="none" w:sz="0" w:space="0" w:color="auto"/>
                    <w:right w:val="none" w:sz="0" w:space="0" w:color="auto"/>
                  </w:divBdr>
                  <w:divsChild>
                    <w:div w:id="974872071">
                      <w:marLeft w:val="0"/>
                      <w:marRight w:val="0"/>
                      <w:marTop w:val="0"/>
                      <w:marBottom w:val="0"/>
                      <w:divBdr>
                        <w:top w:val="none" w:sz="0" w:space="0" w:color="auto"/>
                        <w:left w:val="none" w:sz="0" w:space="0" w:color="auto"/>
                        <w:bottom w:val="none" w:sz="0" w:space="0" w:color="auto"/>
                        <w:right w:val="none" w:sz="0" w:space="0" w:color="auto"/>
                      </w:divBdr>
                      <w:divsChild>
                        <w:div w:id="1729451085">
                          <w:marLeft w:val="0"/>
                          <w:marRight w:val="0"/>
                          <w:marTop w:val="0"/>
                          <w:marBottom w:val="0"/>
                          <w:divBdr>
                            <w:top w:val="none" w:sz="0" w:space="0" w:color="auto"/>
                            <w:left w:val="none" w:sz="0" w:space="0" w:color="auto"/>
                            <w:bottom w:val="none" w:sz="0" w:space="0" w:color="auto"/>
                            <w:right w:val="none" w:sz="0" w:space="0" w:color="auto"/>
                          </w:divBdr>
                          <w:divsChild>
                            <w:div w:id="710034212">
                              <w:marLeft w:val="0"/>
                              <w:marRight w:val="0"/>
                              <w:marTop w:val="0"/>
                              <w:marBottom w:val="0"/>
                              <w:divBdr>
                                <w:top w:val="none" w:sz="0" w:space="0" w:color="auto"/>
                                <w:left w:val="none" w:sz="0" w:space="0" w:color="auto"/>
                                <w:bottom w:val="none" w:sz="0" w:space="0" w:color="auto"/>
                                <w:right w:val="none" w:sz="0" w:space="0" w:color="auto"/>
                              </w:divBdr>
                              <w:divsChild>
                                <w:div w:id="36662124">
                                  <w:marLeft w:val="0"/>
                                  <w:marRight w:val="0"/>
                                  <w:marTop w:val="0"/>
                                  <w:marBottom w:val="0"/>
                                  <w:divBdr>
                                    <w:top w:val="single" w:sz="6" w:space="0" w:color="F5F5F5"/>
                                    <w:left w:val="single" w:sz="6" w:space="0" w:color="F5F5F5"/>
                                    <w:bottom w:val="single" w:sz="6" w:space="0" w:color="F5F5F5"/>
                                    <w:right w:val="single" w:sz="6" w:space="0" w:color="F5F5F5"/>
                                  </w:divBdr>
                                  <w:divsChild>
                                    <w:div w:id="1045451685">
                                      <w:marLeft w:val="0"/>
                                      <w:marRight w:val="0"/>
                                      <w:marTop w:val="0"/>
                                      <w:marBottom w:val="0"/>
                                      <w:divBdr>
                                        <w:top w:val="none" w:sz="0" w:space="0" w:color="auto"/>
                                        <w:left w:val="none" w:sz="0" w:space="0" w:color="auto"/>
                                        <w:bottom w:val="none" w:sz="0" w:space="0" w:color="auto"/>
                                        <w:right w:val="none" w:sz="0" w:space="0" w:color="auto"/>
                                      </w:divBdr>
                                      <w:divsChild>
                                        <w:div w:id="22534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513717848586931"/>
          <c:y val="3.8241254465480892E-2"/>
          <c:w val="0.85649435463463164"/>
          <c:h val="0.79498842391752245"/>
        </c:manualLayout>
      </c:layout>
      <c:lineChart>
        <c:grouping val="standard"/>
        <c:ser>
          <c:idx val="0"/>
          <c:order val="0"/>
          <c:tx>
            <c:strRef>
              <c:f>Sheet1!$B$1</c:f>
              <c:strCache>
                <c:ptCount val="1"/>
                <c:pt idx="0">
                  <c:v>West Bank</c:v>
                </c:pt>
              </c:strCache>
            </c:strRef>
          </c:tx>
          <c:dLbls>
            <c:txPr>
              <a:bodyPr/>
              <a:lstStyle/>
              <a:p>
                <a:pPr>
                  <a:defRPr sz="801"/>
                </a:pPr>
                <a:endParaRPr lang="ar-SA"/>
              </a:p>
            </c:txPr>
            <c:dLblPos val="t"/>
            <c:showVal val="1"/>
          </c:dLbls>
          <c:cat>
            <c:numRef>
              <c:f>Sheet1!$A$2:$A$5</c:f>
              <c:numCache>
                <c:formatCode>General</c:formatCode>
                <c:ptCount val="4"/>
                <c:pt idx="0">
                  <c:v>2011</c:v>
                </c:pt>
                <c:pt idx="1">
                  <c:v>2015</c:v>
                </c:pt>
                <c:pt idx="2">
                  <c:v>2020</c:v>
                </c:pt>
                <c:pt idx="3">
                  <c:v>2025</c:v>
                </c:pt>
              </c:numCache>
            </c:numRef>
          </c:cat>
          <c:val>
            <c:numRef>
              <c:f>Sheet1!$B$2:$B$5</c:f>
              <c:numCache>
                <c:formatCode>#,##0.00</c:formatCode>
                <c:ptCount val="4"/>
                <c:pt idx="0">
                  <c:v>2.5801669999999999</c:v>
                </c:pt>
                <c:pt idx="1">
                  <c:v>2.8624859999999939</c:v>
                </c:pt>
                <c:pt idx="2">
                  <c:v>3.2365919999999999</c:v>
                </c:pt>
                <c:pt idx="3">
                  <c:v>3.6209270000000058</c:v>
                </c:pt>
              </c:numCache>
            </c:numRef>
          </c:val>
        </c:ser>
        <c:ser>
          <c:idx val="1"/>
          <c:order val="1"/>
          <c:tx>
            <c:strRef>
              <c:f>Sheet1!$C$1</c:f>
              <c:strCache>
                <c:ptCount val="1"/>
                <c:pt idx="0">
                  <c:v>Gaza Strip</c:v>
                </c:pt>
              </c:strCache>
            </c:strRef>
          </c:tx>
          <c:dLbls>
            <c:dLbl>
              <c:idx val="0"/>
              <c:layout>
                <c:manualLayout>
                  <c:x val="-6.9713470935214572E-2"/>
                  <c:y val="-6.4244570400138909E-2"/>
                </c:manualLayout>
              </c:layout>
              <c:dLblPos val="r"/>
              <c:showVal val="1"/>
            </c:dLbl>
            <c:dLbl>
              <c:idx val="1"/>
              <c:layout>
                <c:manualLayout>
                  <c:x val="-6.9713470935214572E-2"/>
                  <c:y val="-7.0745399383803323E-2"/>
                </c:manualLayout>
              </c:layout>
              <c:dLblPos val="r"/>
              <c:showVal val="1"/>
            </c:dLbl>
            <c:dLbl>
              <c:idx val="2"/>
              <c:layout>
                <c:manualLayout>
                  <c:x val="-6.9713470935214572E-2"/>
                  <c:y val="-5.7743741416474391E-2"/>
                </c:manualLayout>
              </c:layout>
              <c:dLblPos val="r"/>
              <c:showVal val="1"/>
            </c:dLbl>
            <c:txPr>
              <a:bodyPr/>
              <a:lstStyle/>
              <a:p>
                <a:pPr>
                  <a:defRPr sz="801"/>
                </a:pPr>
                <a:endParaRPr lang="ar-SA"/>
              </a:p>
            </c:txPr>
            <c:dLblPos val="t"/>
            <c:showVal val="1"/>
          </c:dLbls>
          <c:cat>
            <c:numRef>
              <c:f>Sheet1!$A$2:$A$5</c:f>
              <c:numCache>
                <c:formatCode>General</c:formatCode>
                <c:ptCount val="4"/>
                <c:pt idx="0">
                  <c:v>2011</c:v>
                </c:pt>
                <c:pt idx="1">
                  <c:v>2015</c:v>
                </c:pt>
                <c:pt idx="2">
                  <c:v>2020</c:v>
                </c:pt>
                <c:pt idx="3">
                  <c:v>2025</c:v>
                </c:pt>
              </c:numCache>
            </c:numRef>
          </c:cat>
          <c:val>
            <c:numRef>
              <c:f>Sheet1!$C$2:$C$5</c:f>
              <c:numCache>
                <c:formatCode>#,##0.00</c:formatCode>
                <c:ptCount val="4"/>
                <c:pt idx="0">
                  <c:v>1.5886909999999999</c:v>
                </c:pt>
                <c:pt idx="1">
                  <c:v>1.8199809999999998</c:v>
                </c:pt>
                <c:pt idx="2">
                  <c:v>2.1297950000000001</c:v>
                </c:pt>
                <c:pt idx="3">
                  <c:v>2.4407649999999999</c:v>
                </c:pt>
              </c:numCache>
            </c:numRef>
          </c:val>
        </c:ser>
        <c:ser>
          <c:idx val="2"/>
          <c:order val="2"/>
          <c:tx>
            <c:strRef>
              <c:f>Sheet1!$D$1</c:f>
              <c:strCache>
                <c:ptCount val="1"/>
                <c:pt idx="0">
                  <c:v>Palestinian Territory</c:v>
                </c:pt>
              </c:strCache>
            </c:strRef>
          </c:tx>
          <c:dLbls>
            <c:dLbl>
              <c:idx val="0"/>
              <c:layout>
                <c:manualLayout>
                  <c:x val="-8.1666681166695232E-2"/>
                  <c:y val="-6.0392596620978636E-2"/>
                </c:manualLayout>
              </c:layout>
              <c:dLblPos val="r"/>
              <c:showVal val="1"/>
            </c:dLbl>
            <c:dLbl>
              <c:idx val="1"/>
              <c:layout>
                <c:manualLayout>
                  <c:x val="-3.8431379372562448E-2"/>
                  <c:y val="-4.9411770808926753E-2"/>
                </c:manualLayout>
              </c:layout>
              <c:dLblPos val="r"/>
              <c:showVal val="1"/>
            </c:dLbl>
            <c:txPr>
              <a:bodyPr/>
              <a:lstStyle/>
              <a:p>
                <a:pPr>
                  <a:defRPr sz="801"/>
                </a:pPr>
                <a:endParaRPr lang="ar-SA"/>
              </a:p>
            </c:txPr>
            <c:showVal val="1"/>
          </c:dLbls>
          <c:cat>
            <c:numRef>
              <c:f>Sheet1!$A$2:$A$5</c:f>
              <c:numCache>
                <c:formatCode>General</c:formatCode>
                <c:ptCount val="4"/>
                <c:pt idx="0">
                  <c:v>2011</c:v>
                </c:pt>
                <c:pt idx="1">
                  <c:v>2015</c:v>
                </c:pt>
                <c:pt idx="2">
                  <c:v>2020</c:v>
                </c:pt>
                <c:pt idx="3">
                  <c:v>2025</c:v>
                </c:pt>
              </c:numCache>
            </c:numRef>
          </c:cat>
          <c:val>
            <c:numRef>
              <c:f>Sheet1!$D$2:$D$5</c:f>
              <c:numCache>
                <c:formatCode>#,##0.00</c:formatCode>
                <c:ptCount val="4"/>
                <c:pt idx="0">
                  <c:v>4.1688579999999869</c:v>
                </c:pt>
                <c:pt idx="1">
                  <c:v>4.6824669999999955</c:v>
                </c:pt>
                <c:pt idx="2">
                  <c:v>5.366386999999988</c:v>
                </c:pt>
                <c:pt idx="3">
                  <c:v>6.0616919999999999</c:v>
                </c:pt>
              </c:numCache>
            </c:numRef>
          </c:val>
        </c:ser>
        <c:dLbls>
          <c:showVal val="1"/>
        </c:dLbls>
        <c:marker val="1"/>
        <c:axId val="35919744"/>
        <c:axId val="63339904"/>
      </c:lineChart>
      <c:catAx>
        <c:axId val="35919744"/>
        <c:scaling>
          <c:orientation val="minMax"/>
        </c:scaling>
        <c:axPos val="b"/>
        <c:title>
          <c:tx>
            <c:rich>
              <a:bodyPr/>
              <a:lstStyle/>
              <a:p>
                <a:pPr>
                  <a:defRPr sz="801" b="1" i="0" u="none" strike="noStrike" baseline="0">
                    <a:solidFill>
                      <a:srgbClr val="000000"/>
                    </a:solidFill>
                    <a:latin typeface="Arial"/>
                    <a:ea typeface="Arial"/>
                    <a:cs typeface="Arial"/>
                  </a:defRPr>
                </a:pPr>
                <a:r>
                  <a:rPr lang="en-US"/>
                  <a:t>Year</a:t>
                </a:r>
              </a:p>
            </c:rich>
          </c:tx>
        </c:title>
        <c:numFmt formatCode="General" sourceLinked="1"/>
        <c:tickLblPos val="nextTo"/>
        <c:txPr>
          <a:bodyPr rot="0" vert="horz"/>
          <a:lstStyle/>
          <a:p>
            <a:pPr>
              <a:defRPr sz="801" b="0" baseline="0">
                <a:latin typeface="+mn-lt"/>
                <a:cs typeface="+mn-cs"/>
              </a:defRPr>
            </a:pPr>
            <a:endParaRPr lang="ar-SA"/>
          </a:p>
        </c:txPr>
        <c:crossAx val="63339904"/>
        <c:crossesAt val="0"/>
        <c:auto val="1"/>
        <c:lblAlgn val="ctr"/>
        <c:lblOffset val="100"/>
        <c:tickLblSkip val="1"/>
      </c:catAx>
      <c:valAx>
        <c:axId val="63339904"/>
        <c:scaling>
          <c:orientation val="minMax"/>
        </c:scaling>
        <c:axPos val="l"/>
        <c:title>
          <c:tx>
            <c:rich>
              <a:bodyPr/>
              <a:lstStyle/>
              <a:p>
                <a:pPr>
                  <a:defRPr sz="801" b="0" i="0" u="none" strike="noStrike" baseline="0">
                    <a:solidFill>
                      <a:srgbClr val="000000"/>
                    </a:solidFill>
                    <a:latin typeface="Arial"/>
                    <a:ea typeface="Arial"/>
                    <a:cs typeface="Arial"/>
                  </a:defRPr>
                </a:pPr>
                <a:r>
                  <a:rPr lang="en-US" sz="800" b="1"/>
                  <a:t>Number of Population (Million)</a:t>
                </a:r>
                <a:endParaRPr lang="ar-SA" sz="800" b="1"/>
              </a:p>
            </c:rich>
          </c:tx>
          <c:layout>
            <c:manualLayout>
              <c:xMode val="edge"/>
              <c:yMode val="edge"/>
              <c:x val="1.2785774099487337E-2"/>
              <c:y val="4.4397297257569079E-2"/>
            </c:manualLayout>
          </c:layout>
        </c:title>
        <c:numFmt formatCode="#,##0" sourceLinked="0"/>
        <c:tickLblPos val="nextTo"/>
        <c:txPr>
          <a:bodyPr/>
          <a:lstStyle/>
          <a:p>
            <a:pPr>
              <a:defRPr sz="801"/>
            </a:pPr>
            <a:endParaRPr lang="ar-SA"/>
          </a:p>
        </c:txPr>
        <c:crossAx val="35919744"/>
        <c:crosses val="autoZero"/>
        <c:crossBetween val="between"/>
      </c:valAx>
    </c:plotArea>
    <c:legend>
      <c:legendPos val="r"/>
      <c:layout>
        <c:manualLayout>
          <c:xMode val="edge"/>
          <c:yMode val="edge"/>
          <c:x val="0.18570280248248774"/>
          <c:y val="0.6809887246010301"/>
          <c:w val="0.77898339009546269"/>
          <c:h val="0.11977191984270615"/>
        </c:manualLayout>
      </c:layout>
      <c:txPr>
        <a:bodyPr/>
        <a:lstStyle/>
        <a:p>
          <a:pPr>
            <a:defRPr sz="601"/>
          </a:pPr>
          <a:endParaRPr lang="ar-SA"/>
        </a:p>
      </c:txPr>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898" b="0" i="0" u="none" strike="noStrike" baseline="0">
                <a:solidFill>
                  <a:srgbClr val="000000"/>
                </a:solidFill>
                <a:latin typeface="Arial"/>
                <a:ea typeface="Arial"/>
                <a:cs typeface="Arial"/>
              </a:defRPr>
            </a:pPr>
            <a:r>
              <a:rPr lang="ar-SA"/>
              <a:t>
  </a:t>
            </a:r>
          </a:p>
        </c:rich>
      </c:tx>
      <c:layout>
        <c:manualLayout>
          <c:xMode val="edge"/>
          <c:yMode val="edge"/>
          <c:x val="0.49659858200028023"/>
          <c:y val="2.1333521239280027E-2"/>
        </c:manualLayout>
      </c:layout>
      <c:spPr>
        <a:noFill/>
        <a:ln w="25336">
          <a:noFill/>
        </a:ln>
      </c:spPr>
    </c:title>
    <c:view3D>
      <c:rotX val="0"/>
      <c:hPercent val="163"/>
      <c:rotY val="0"/>
      <c:depthPercent val="1710"/>
      <c:rAngAx val="1"/>
    </c:view3D>
    <c:floor>
      <c:spPr>
        <a:solidFill>
          <a:srgbClr val="C0C0C0"/>
        </a:solidFill>
        <a:ln w="3175">
          <a:solidFill>
            <a:srgbClr val="000000"/>
          </a:solidFill>
          <a:prstDash val="solid"/>
        </a:ln>
      </c:spPr>
    </c:floor>
    <c:plotArea>
      <c:layout>
        <c:manualLayout>
          <c:layoutTarget val="inner"/>
          <c:xMode val="edge"/>
          <c:yMode val="edge"/>
          <c:x val="0.2110035361406557"/>
          <c:y val="2.7856388790027411E-2"/>
          <c:w val="0.7580080179249028"/>
          <c:h val="0.82219803269390834"/>
        </c:manualLayout>
      </c:layout>
      <c:bar3DChart>
        <c:barDir val="bar"/>
        <c:grouping val="stacked"/>
        <c:ser>
          <c:idx val="0"/>
          <c:order val="0"/>
          <c:tx>
            <c:strRef>
              <c:f>Sheet1!$B$6:$B$6</c:f>
              <c:strCache>
                <c:ptCount val="1"/>
                <c:pt idx="0">
                  <c:v>Females</c:v>
                </c:pt>
              </c:strCache>
            </c:strRef>
          </c:tx>
          <c:spPr>
            <a:gradFill rotWithShape="0">
              <a:gsLst>
                <a:gs pos="0">
                  <a:srgbClr val="99CC00"/>
                </a:gs>
                <a:gs pos="100000">
                  <a:srgbClr val="FFFFFF"/>
                </a:gs>
              </a:gsLst>
              <a:lin ang="5400000" scaled="1"/>
            </a:gradFill>
            <a:ln w="1266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-13.346</c:v>
                </c:pt>
                <c:pt idx="1">
                  <c:v>-13.477</c:v>
                </c:pt>
                <c:pt idx="2">
                  <c:v>-18.885000000000002</c:v>
                </c:pt>
                <c:pt idx="3">
                  <c:v>-24.895</c:v>
                </c:pt>
                <c:pt idx="4">
                  <c:v>-31.465999999999944</c:v>
                </c:pt>
                <c:pt idx="5">
                  <c:v>-41.102000000000011</c:v>
                </c:pt>
                <c:pt idx="6">
                  <c:v>-58.421000000000006</c:v>
                </c:pt>
                <c:pt idx="7">
                  <c:v>-76.471999999999994</c:v>
                </c:pt>
                <c:pt idx="8">
                  <c:v>-93.292000000000002</c:v>
                </c:pt>
                <c:pt idx="9">
                  <c:v>-111.898</c:v>
                </c:pt>
                <c:pt idx="10">
                  <c:v>-131.08500000000001</c:v>
                </c:pt>
                <c:pt idx="11">
                  <c:v>-157.31200000000001</c:v>
                </c:pt>
                <c:pt idx="12">
                  <c:v>-203.672</c:v>
                </c:pt>
                <c:pt idx="13">
                  <c:v>-243.23399999999998</c:v>
                </c:pt>
                <c:pt idx="14">
                  <c:v>-260.017</c:v>
                </c:pt>
                <c:pt idx="15">
                  <c:v>-273.9879999999992</c:v>
                </c:pt>
                <c:pt idx="16">
                  <c:v>-299.51599999999934</c:v>
                </c:pt>
              </c:numCache>
            </c:numRef>
          </c:val>
        </c:ser>
        <c:ser>
          <c:idx val="1"/>
          <c:order val="1"/>
          <c:tx>
            <c:strRef>
              <c:f>Sheet1!$C$6:$C$6</c:f>
              <c:strCache>
                <c:ptCount val="1"/>
                <c:pt idx="0">
                  <c:v>Males</c:v>
                </c:pt>
              </c:strCache>
            </c:strRef>
          </c:tx>
          <c:spPr>
            <a:gradFill rotWithShape="0">
              <a:gsLst>
                <a:gs pos="0">
                  <a:srgbClr val="FF0000"/>
                </a:gs>
                <a:gs pos="100000">
                  <a:srgbClr val="FFCC00"/>
                </a:gs>
              </a:gsLst>
              <a:lin ang="5400000" scaled="1"/>
            </a:gradFill>
            <a:ln w="1266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9.7249999999999996</c:v>
                </c:pt>
                <c:pt idx="1">
                  <c:v>9.3330000000000002</c:v>
                </c:pt>
                <c:pt idx="2">
                  <c:v>13.499000000000002</c:v>
                </c:pt>
                <c:pt idx="3">
                  <c:v>19.588999999999952</c:v>
                </c:pt>
                <c:pt idx="4">
                  <c:v>29.184000000000001</c:v>
                </c:pt>
                <c:pt idx="5">
                  <c:v>42.217000000000006</c:v>
                </c:pt>
                <c:pt idx="6">
                  <c:v>62.674000000000007</c:v>
                </c:pt>
                <c:pt idx="7">
                  <c:v>82.672999999999988</c:v>
                </c:pt>
                <c:pt idx="8">
                  <c:v>97.296999999999997</c:v>
                </c:pt>
                <c:pt idx="9">
                  <c:v>114.62899999999998</c:v>
                </c:pt>
                <c:pt idx="10">
                  <c:v>136.24399999999972</c:v>
                </c:pt>
                <c:pt idx="11">
                  <c:v>164.60499999999999</c:v>
                </c:pt>
                <c:pt idx="12">
                  <c:v>212.31800000000001</c:v>
                </c:pt>
                <c:pt idx="13">
                  <c:v>253.416</c:v>
                </c:pt>
                <c:pt idx="14">
                  <c:v>271.41399999999908</c:v>
                </c:pt>
                <c:pt idx="15">
                  <c:v>286.03399999999908</c:v>
                </c:pt>
                <c:pt idx="16">
                  <c:v>311.93099999999896</c:v>
                </c:pt>
              </c:numCache>
            </c:numRef>
          </c:val>
        </c:ser>
        <c:gapWidth val="0"/>
        <c:gapDepth val="0"/>
        <c:shape val="box"/>
        <c:axId val="68080000"/>
        <c:axId val="68082688"/>
        <c:axId val="0"/>
      </c:bar3DChart>
      <c:catAx>
        <c:axId val="68080000"/>
        <c:scaling>
          <c:orientation val="maxMin"/>
        </c:scaling>
        <c:axPos val="l"/>
        <c:title>
          <c:tx>
            <c:rich>
              <a:bodyPr/>
              <a:lstStyle/>
              <a:p>
                <a:pPr>
                  <a:defRPr sz="898" b="0" i="0" u="none" strike="noStrike" baseline="0">
                    <a:solidFill>
                      <a:srgbClr val="000000"/>
                    </a:solidFill>
                    <a:latin typeface="Arial"/>
                    <a:ea typeface="Arial"/>
                    <a:cs typeface="Arial"/>
                  </a:defRPr>
                </a:pPr>
                <a:r>
                  <a:rPr lang="en-US" sz="898" b="1" i="0" u="none" strike="noStrike" baseline="0">
                    <a:solidFill>
                      <a:srgbClr val="000000"/>
                    </a:solidFill>
                    <a:latin typeface="Arial"/>
                    <a:cs typeface="Arial"/>
                  </a:rPr>
                  <a:t> Age Group</a:t>
                </a:r>
              </a:p>
            </c:rich>
          </c:tx>
          <c:layout>
            <c:manualLayout>
              <c:xMode val="edge"/>
              <c:yMode val="edge"/>
              <c:x val="1.5944434804107541E-2"/>
              <c:y val="0.30666639575932114"/>
            </c:manualLayout>
          </c:layout>
          <c:spPr>
            <a:noFill/>
            <a:ln w="25336">
              <a:noFill/>
            </a:ln>
          </c:spPr>
        </c:title>
        <c:numFmt formatCode="0.00" sourceLinked="0"/>
        <c:tickLblPos val="low"/>
        <c:spPr>
          <a:ln w="3167">
            <a:solidFill>
              <a:srgbClr val="000000"/>
            </a:solidFill>
            <a:prstDash val="solid"/>
          </a:ln>
        </c:spPr>
        <c:txPr>
          <a:bodyPr rot="0" vert="horz"/>
          <a:lstStyle/>
          <a:p>
            <a:pPr rtl="1">
              <a:defRPr sz="798" b="0" i="0" u="none" strike="noStrike" baseline="0">
                <a:solidFill>
                  <a:srgbClr val="000000"/>
                </a:solidFill>
                <a:latin typeface="Arial"/>
                <a:ea typeface="Arial"/>
                <a:cs typeface="Arial"/>
              </a:defRPr>
            </a:pPr>
            <a:endParaRPr lang="ar-SA"/>
          </a:p>
        </c:txPr>
        <c:crossAx val="68082688"/>
        <c:crossesAt val="350"/>
        <c:lblAlgn val="ctr"/>
        <c:lblOffset val="100"/>
        <c:tickLblSkip val="2"/>
        <c:tickMarkSkip val="1"/>
      </c:catAx>
      <c:valAx>
        <c:axId val="68082688"/>
        <c:scaling>
          <c:orientation val="minMax"/>
          <c:max val="350"/>
          <c:min val="-350"/>
        </c:scaling>
        <c:axPos val="b"/>
        <c:majorGridlines>
          <c:spPr>
            <a:ln w="3167">
              <a:solidFill>
                <a:srgbClr val="FFFFFF"/>
              </a:solidFill>
              <a:prstDash val="solid"/>
            </a:ln>
          </c:spPr>
        </c:majorGridlines>
        <c:title>
          <c:tx>
            <c:rich>
              <a:bodyPr/>
              <a:lstStyle/>
              <a:p>
                <a:pPr>
                  <a:defRPr sz="898" b="1" i="0" u="none" strike="noStrike" baseline="0">
                    <a:solidFill>
                      <a:srgbClr val="000000"/>
                    </a:solidFill>
                    <a:latin typeface="Arial"/>
                    <a:ea typeface="Arial"/>
                    <a:cs typeface="Arial"/>
                  </a:defRPr>
                </a:pPr>
                <a:r>
                  <a:rPr lang="en-US" sz="800"/>
                  <a:t>Number of</a:t>
                </a:r>
                <a:r>
                  <a:rPr lang="en-US" sz="800" baseline="0"/>
                  <a:t> Population (</a:t>
                </a:r>
                <a:r>
                  <a:rPr lang="en-US" sz="800" baseline="0">
                    <a:solidFill>
                      <a:sysClr val="windowText" lastClr="000000"/>
                    </a:solidFill>
                  </a:rPr>
                  <a:t>thousands</a:t>
                </a:r>
                <a:r>
                  <a:rPr lang="en-US" sz="800" baseline="0"/>
                  <a:t>)</a:t>
                </a:r>
                <a:endParaRPr lang="ar-SA" sz="800"/>
              </a:p>
            </c:rich>
          </c:tx>
          <c:layout>
            <c:manualLayout>
              <c:xMode val="edge"/>
              <c:yMode val="edge"/>
              <c:x val="0.25184074733917367"/>
              <c:y val="0.85278182734400843"/>
            </c:manualLayout>
          </c:layout>
          <c:spPr>
            <a:noFill/>
            <a:ln w="25336">
              <a:noFill/>
            </a:ln>
          </c:spPr>
        </c:title>
        <c:numFmt formatCode="#,##0_-;[Red]#,##0" sourceLinked="0"/>
        <c:tickLblPos val="nextTo"/>
        <c:spPr>
          <a:ln w="3167">
            <a:solidFill>
              <a:srgbClr val="000000"/>
            </a:solidFill>
            <a:prstDash val="solid"/>
          </a:ln>
        </c:spPr>
        <c:txPr>
          <a:bodyPr rot="-5400000" vert="horz"/>
          <a:lstStyle/>
          <a:p>
            <a:pPr>
              <a:defRPr sz="898" b="0" i="0" u="none" strike="noStrike" baseline="0">
                <a:solidFill>
                  <a:srgbClr val="000000"/>
                </a:solidFill>
                <a:latin typeface="Arial"/>
                <a:ea typeface="Arial"/>
                <a:cs typeface="Arial"/>
              </a:defRPr>
            </a:pPr>
            <a:endParaRPr lang="ar-SA"/>
          </a:p>
        </c:txPr>
        <c:crossAx val="68080000"/>
        <c:crosses val="max"/>
        <c:crossBetween val="between"/>
        <c:majorUnit val="50"/>
        <c:minorUnit val="10"/>
      </c:valAx>
      <c:spPr>
        <a:noFill/>
        <a:ln w="3167">
          <a:solidFill>
            <a:srgbClr val="FFFFFF"/>
          </a:solidFill>
          <a:prstDash val="solid"/>
        </a:ln>
      </c:spPr>
    </c:plotArea>
    <c:legend>
      <c:legendPos val="r"/>
      <c:layout>
        <c:manualLayout>
          <c:xMode val="edge"/>
          <c:yMode val="edge"/>
          <c:x val="0.70918413572502359"/>
          <c:y val="0.19260172210612592"/>
          <c:w val="0.21324717763151821"/>
          <c:h val="0.12408838957398677"/>
        </c:manualLayout>
      </c:layout>
      <c:spPr>
        <a:solidFill>
          <a:srgbClr val="FFFFFF"/>
        </a:solidFill>
        <a:ln w="3167">
          <a:solidFill>
            <a:srgbClr val="FFFFFF"/>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8"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1009333803953545"/>
          <c:y val="0.10414712758730156"/>
          <c:w val="0.78887705829197163"/>
          <c:h val="0.72938528309685768"/>
        </c:manualLayout>
      </c:layout>
      <c:barChart>
        <c:barDir val="col"/>
        <c:grouping val="clustered"/>
        <c:ser>
          <c:idx val="0"/>
          <c:order val="0"/>
          <c:tx>
            <c:strRef>
              <c:f>Sheet1!$J$6</c:f>
              <c:strCache>
                <c:ptCount val="1"/>
                <c:pt idx="0">
                  <c:v>West Bank</c:v>
                </c:pt>
              </c:strCache>
            </c:strRef>
          </c:tx>
          <c:spPr>
            <a:solidFill>
              <a:schemeClr val="accent6">
                <a:lumMod val="60000"/>
                <a:lumOff val="40000"/>
              </a:schemeClr>
            </a:solidFill>
          </c:spPr>
          <c:dLbls>
            <c:txPr>
              <a:bodyPr/>
              <a:lstStyle/>
              <a:p>
                <a:pPr>
                  <a:defRPr sz="797"/>
                </a:pPr>
                <a:endParaRPr lang="ar-SA"/>
              </a:p>
            </c:txPr>
            <c:showVal val="1"/>
          </c:dLbls>
          <c:cat>
            <c:numRef>
              <c:f>Sheet1!$K$7:$K$9</c:f>
              <c:numCache>
                <c:formatCode>General</c:formatCode>
                <c:ptCount val="3"/>
                <c:pt idx="0">
                  <c:v>1997</c:v>
                </c:pt>
                <c:pt idx="1">
                  <c:v>2007</c:v>
                </c:pt>
                <c:pt idx="2">
                  <c:v>2011</c:v>
                </c:pt>
              </c:numCache>
            </c:numRef>
          </c:cat>
          <c:val>
            <c:numRef>
              <c:f>Sheet1!$J$7:$J$9</c:f>
              <c:numCache>
                <c:formatCode>General</c:formatCode>
                <c:ptCount val="3"/>
                <c:pt idx="0">
                  <c:v>316</c:v>
                </c:pt>
                <c:pt idx="1">
                  <c:v>411</c:v>
                </c:pt>
                <c:pt idx="2">
                  <c:v>456</c:v>
                </c:pt>
              </c:numCache>
            </c:numRef>
          </c:val>
        </c:ser>
        <c:ser>
          <c:idx val="1"/>
          <c:order val="1"/>
          <c:tx>
            <c:strRef>
              <c:f>Sheet1!$I$6</c:f>
              <c:strCache>
                <c:ptCount val="1"/>
                <c:pt idx="0">
                  <c:v>Gaza Srip</c:v>
                </c:pt>
              </c:strCache>
            </c:strRef>
          </c:tx>
          <c:spPr>
            <a:solidFill>
              <a:srgbClr val="000099"/>
            </a:solidFill>
          </c:spPr>
          <c:dLbls>
            <c:txPr>
              <a:bodyPr/>
              <a:lstStyle/>
              <a:p>
                <a:pPr>
                  <a:defRPr sz="797"/>
                </a:pPr>
                <a:endParaRPr lang="ar-SA"/>
              </a:p>
            </c:txPr>
            <c:showVal val="1"/>
          </c:dLbls>
          <c:cat>
            <c:numRef>
              <c:f>Sheet1!$K$7:$K$9</c:f>
              <c:numCache>
                <c:formatCode>General</c:formatCode>
                <c:ptCount val="3"/>
                <c:pt idx="0">
                  <c:v>1997</c:v>
                </c:pt>
                <c:pt idx="1">
                  <c:v>2007</c:v>
                </c:pt>
                <c:pt idx="2">
                  <c:v>2011</c:v>
                </c:pt>
              </c:numCache>
            </c:numRef>
          </c:cat>
          <c:val>
            <c:numRef>
              <c:f>Sheet1!$I$7:$I$9</c:f>
              <c:numCache>
                <c:formatCode>#,##0</c:formatCode>
                <c:ptCount val="3"/>
                <c:pt idx="0">
                  <c:v>3727</c:v>
                </c:pt>
                <c:pt idx="1">
                  <c:v>3824</c:v>
                </c:pt>
                <c:pt idx="2">
                  <c:v>4353</c:v>
                </c:pt>
              </c:numCache>
            </c:numRef>
          </c:val>
        </c:ser>
        <c:ser>
          <c:idx val="2"/>
          <c:order val="2"/>
          <c:tx>
            <c:strRef>
              <c:f>Sheet1!$H$6</c:f>
              <c:strCache>
                <c:ptCount val="1"/>
                <c:pt idx="0">
                  <c:v>Palestinian Territory</c:v>
                </c:pt>
              </c:strCache>
            </c:strRef>
          </c:tx>
          <c:spPr>
            <a:solidFill>
              <a:srgbClr val="FFFF00"/>
            </a:solidFill>
          </c:spPr>
          <c:dLbls>
            <c:txPr>
              <a:bodyPr/>
              <a:lstStyle/>
              <a:p>
                <a:pPr>
                  <a:defRPr sz="797"/>
                </a:pPr>
                <a:endParaRPr lang="ar-SA"/>
              </a:p>
            </c:txPr>
            <c:showVal val="1"/>
          </c:dLbls>
          <c:val>
            <c:numRef>
              <c:f>Sheet1!$H$7:$H$9</c:f>
              <c:numCache>
                <c:formatCode>General</c:formatCode>
                <c:ptCount val="3"/>
                <c:pt idx="0">
                  <c:v>462</c:v>
                </c:pt>
                <c:pt idx="1">
                  <c:v>618</c:v>
                </c:pt>
                <c:pt idx="2">
                  <c:v>693</c:v>
                </c:pt>
              </c:numCache>
            </c:numRef>
          </c:val>
        </c:ser>
        <c:dLbls>
          <c:showVal val="1"/>
        </c:dLbls>
        <c:axId val="68480384"/>
        <c:axId val="68548096"/>
      </c:barChart>
      <c:catAx>
        <c:axId val="68480384"/>
        <c:scaling>
          <c:orientation val="minMax"/>
        </c:scaling>
        <c:axPos val="b"/>
        <c:title>
          <c:tx>
            <c:rich>
              <a:bodyPr/>
              <a:lstStyle/>
              <a:p>
                <a:pPr>
                  <a:defRPr sz="797" b="1" i="0" u="none" strike="noStrike" baseline="0">
                    <a:solidFill>
                      <a:srgbClr val="000000"/>
                    </a:solidFill>
                    <a:latin typeface="Arial"/>
                    <a:ea typeface="Arial"/>
                    <a:cs typeface="Arial"/>
                  </a:defRPr>
                </a:pPr>
                <a:r>
                  <a:rPr lang="en-US" sz="797"/>
                  <a:t>Year</a:t>
                </a:r>
                <a:endParaRPr lang="ar-SA" sz="800"/>
              </a:p>
            </c:rich>
          </c:tx>
          <c:layout>
            <c:manualLayout>
              <c:xMode val="edge"/>
              <c:yMode val="edge"/>
              <c:x val="0.48344698484493337"/>
              <c:y val="0.91491609545399655"/>
            </c:manualLayout>
          </c:layout>
          <c:spPr>
            <a:noFill/>
            <a:ln w="25301">
              <a:noFill/>
            </a:ln>
          </c:spPr>
        </c:title>
        <c:numFmt formatCode="General" sourceLinked="1"/>
        <c:tickLblPos val="nextTo"/>
        <c:spPr>
          <a:ln w="3163">
            <a:solidFill>
              <a:srgbClr val="000000"/>
            </a:solidFill>
            <a:prstDash val="solid"/>
          </a:ln>
        </c:spPr>
        <c:txPr>
          <a:bodyPr rot="0" vert="horz"/>
          <a:lstStyle/>
          <a:p>
            <a:pPr>
              <a:defRPr sz="797" b="0" i="0" u="none" strike="noStrike" baseline="0">
                <a:solidFill>
                  <a:srgbClr val="000000"/>
                </a:solidFill>
                <a:latin typeface="Arial"/>
                <a:ea typeface="Arial"/>
                <a:cs typeface="Arial"/>
              </a:defRPr>
            </a:pPr>
            <a:endParaRPr lang="ar-SA"/>
          </a:p>
        </c:txPr>
        <c:crossAx val="68548096"/>
        <c:crosses val="autoZero"/>
        <c:auto val="1"/>
        <c:lblAlgn val="ctr"/>
        <c:lblOffset val="100"/>
        <c:tickLblSkip val="1"/>
        <c:tickMarkSkip val="1"/>
      </c:catAx>
      <c:valAx>
        <c:axId val="68548096"/>
        <c:scaling>
          <c:orientation val="minMax"/>
        </c:scaling>
        <c:axPos val="l"/>
        <c:title>
          <c:tx>
            <c:rich>
              <a:bodyPr/>
              <a:lstStyle/>
              <a:p>
                <a:pPr>
                  <a:defRPr sz="797" b="1" i="0" u="none" strike="noStrike" baseline="0">
                    <a:solidFill>
                      <a:srgbClr val="000000"/>
                    </a:solidFill>
                    <a:latin typeface="Arial"/>
                    <a:ea typeface="Arial"/>
                    <a:cs typeface="Arial"/>
                  </a:defRPr>
                </a:pPr>
                <a:r>
                  <a:rPr lang="en-US" sz="797"/>
                  <a:t>Population</a:t>
                </a:r>
                <a:r>
                  <a:rPr lang="en-US" sz="797" baseline="0"/>
                  <a:t> Density</a:t>
                </a:r>
                <a:endParaRPr lang="ar-SA" sz="800"/>
              </a:p>
            </c:rich>
          </c:tx>
          <c:layout>
            <c:manualLayout>
              <c:xMode val="edge"/>
              <c:yMode val="edge"/>
              <c:x val="4.2521064026366292E-3"/>
              <c:y val="0.16256475606647988"/>
            </c:manualLayout>
          </c:layout>
          <c:spPr>
            <a:noFill/>
            <a:ln w="25301">
              <a:noFill/>
            </a:ln>
          </c:spPr>
        </c:title>
        <c:numFmt formatCode="General" sourceLinked="1"/>
        <c:tickLblPos val="nextTo"/>
        <c:spPr>
          <a:ln w="3163">
            <a:solidFill>
              <a:srgbClr val="000000"/>
            </a:solidFill>
            <a:prstDash val="solid"/>
          </a:ln>
        </c:spPr>
        <c:txPr>
          <a:bodyPr rot="0" vert="horz"/>
          <a:lstStyle/>
          <a:p>
            <a:pPr>
              <a:defRPr sz="797" b="0" i="0" u="none" strike="noStrike" baseline="0">
                <a:solidFill>
                  <a:srgbClr val="000000"/>
                </a:solidFill>
                <a:latin typeface="Arial"/>
                <a:ea typeface="Arial"/>
                <a:cs typeface="Arial"/>
              </a:defRPr>
            </a:pPr>
            <a:endParaRPr lang="ar-SA"/>
          </a:p>
        </c:txPr>
        <c:crossAx val="68480384"/>
        <c:crosses val="autoZero"/>
        <c:crossBetween val="between"/>
      </c:valAx>
      <c:spPr>
        <a:noFill/>
        <a:ln w="25313">
          <a:noFill/>
        </a:ln>
      </c:spPr>
    </c:plotArea>
    <c:legend>
      <c:legendPos val="r"/>
      <c:layout>
        <c:manualLayout>
          <c:xMode val="edge"/>
          <c:yMode val="edge"/>
          <c:x val="0.17507673664896625"/>
          <c:y val="2.6420506419421071E-2"/>
          <c:w val="0.82492312147496449"/>
          <c:h val="9.0431554912605239E-2"/>
        </c:manualLayout>
      </c:layout>
      <c:txPr>
        <a:bodyPr/>
        <a:lstStyle/>
        <a:p>
          <a:pPr>
            <a:defRPr sz="700"/>
          </a:pPr>
          <a:endParaRPr lang="ar-SA"/>
        </a:p>
      </c:txPr>
    </c:legend>
    <c:plotVisOnly val="1"/>
    <c:dispBlanksAs val="gap"/>
  </c:chart>
  <c:spPr>
    <a:noFill/>
    <a:ln>
      <a:noFill/>
    </a:ln>
  </c:spPr>
  <c:txPr>
    <a:bodyPr/>
    <a:lstStyle/>
    <a:p>
      <a:pPr>
        <a:defRPr sz="897"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457177098392572"/>
          <c:y val="3.2124746188243056E-2"/>
          <c:w val="0.84247023635783136"/>
          <c:h val="0.72525371828521434"/>
        </c:manualLayout>
      </c:layout>
      <c:lineChart>
        <c:grouping val="standard"/>
        <c:ser>
          <c:idx val="0"/>
          <c:order val="0"/>
          <c:tx>
            <c:strRef>
              <c:f>Sheet1!$B$1</c:f>
              <c:strCache>
                <c:ptCount val="1"/>
                <c:pt idx="0">
                  <c:v>Gaza Strip</c:v>
                </c:pt>
              </c:strCache>
            </c:strRef>
          </c:tx>
          <c:dLbls>
            <c:txPr>
              <a:bodyPr/>
              <a:lstStyle/>
              <a:p>
                <a:pPr>
                  <a:defRPr sz="707" b="0" i="0" u="none" strike="noStrike" baseline="0">
                    <a:solidFill>
                      <a:srgbClr val="000000"/>
                    </a:solidFill>
                    <a:latin typeface="Arial"/>
                    <a:ea typeface="Arial"/>
                    <a:cs typeface="Arial"/>
                  </a:defRPr>
                </a:pPr>
                <a:endParaRPr lang="ar-SA"/>
              </a:p>
            </c:txPr>
            <c:dLblPos val="b"/>
            <c:showVal val="1"/>
          </c:dLbls>
          <c:cat>
            <c:numRef>
              <c:f>Sheet1!$A$2:$A$5</c:f>
              <c:numCache>
                <c:formatCode>General</c:formatCode>
                <c:ptCount val="4"/>
                <c:pt idx="0">
                  <c:v>2011</c:v>
                </c:pt>
                <c:pt idx="1">
                  <c:v>2015</c:v>
                </c:pt>
                <c:pt idx="2">
                  <c:v>2020</c:v>
                </c:pt>
                <c:pt idx="3">
                  <c:v>2025</c:v>
                </c:pt>
              </c:numCache>
            </c:numRef>
          </c:cat>
          <c:val>
            <c:numRef>
              <c:f>Sheet1!$B$2:$B$5</c:f>
              <c:numCache>
                <c:formatCode>General</c:formatCode>
                <c:ptCount val="4"/>
                <c:pt idx="0">
                  <c:v>17</c:v>
                </c:pt>
                <c:pt idx="1">
                  <c:v>18</c:v>
                </c:pt>
                <c:pt idx="2">
                  <c:v>19</c:v>
                </c:pt>
                <c:pt idx="3">
                  <c:v>20</c:v>
                </c:pt>
              </c:numCache>
            </c:numRef>
          </c:val>
        </c:ser>
        <c:ser>
          <c:idx val="1"/>
          <c:order val="1"/>
          <c:tx>
            <c:strRef>
              <c:f>Sheet1!$C$1</c:f>
              <c:strCache>
                <c:ptCount val="1"/>
                <c:pt idx="0">
                  <c:v>West Bank</c:v>
                </c:pt>
              </c:strCache>
            </c:strRef>
          </c:tx>
          <c:dLbls>
            <c:txPr>
              <a:bodyPr/>
              <a:lstStyle/>
              <a:p>
                <a:pPr>
                  <a:defRPr sz="707" b="0" i="0" u="none" strike="noStrike" baseline="0">
                    <a:solidFill>
                      <a:srgbClr val="000000"/>
                    </a:solidFill>
                    <a:latin typeface="Arial"/>
                    <a:ea typeface="Arial"/>
                    <a:cs typeface="Arial"/>
                  </a:defRPr>
                </a:pPr>
                <a:endParaRPr lang="ar-SA"/>
              </a:p>
            </c:txPr>
            <c:dLblPos val="t"/>
            <c:showVal val="1"/>
          </c:dLbls>
          <c:cat>
            <c:numRef>
              <c:f>Sheet1!$A$2:$A$5</c:f>
              <c:numCache>
                <c:formatCode>General</c:formatCode>
                <c:ptCount val="4"/>
                <c:pt idx="0">
                  <c:v>2011</c:v>
                </c:pt>
                <c:pt idx="1">
                  <c:v>2015</c:v>
                </c:pt>
                <c:pt idx="2">
                  <c:v>2020</c:v>
                </c:pt>
                <c:pt idx="3">
                  <c:v>2025</c:v>
                </c:pt>
              </c:numCache>
            </c:numRef>
          </c:cat>
          <c:val>
            <c:numRef>
              <c:f>Sheet1!$C$2:$C$5</c:f>
              <c:numCache>
                <c:formatCode>General</c:formatCode>
                <c:ptCount val="4"/>
                <c:pt idx="0">
                  <c:v>20</c:v>
                </c:pt>
                <c:pt idx="1">
                  <c:v>21</c:v>
                </c:pt>
                <c:pt idx="2">
                  <c:v>22</c:v>
                </c:pt>
                <c:pt idx="3">
                  <c:v>23</c:v>
                </c:pt>
              </c:numCache>
            </c:numRef>
          </c:val>
        </c:ser>
        <c:marker val="1"/>
        <c:axId val="68903680"/>
        <c:axId val="68997504"/>
      </c:lineChart>
      <c:catAx>
        <c:axId val="68903680"/>
        <c:scaling>
          <c:orientation val="minMax"/>
        </c:scaling>
        <c:axPos val="b"/>
        <c:title>
          <c:tx>
            <c:rich>
              <a:bodyPr/>
              <a:lstStyle/>
              <a:p>
                <a:pPr>
                  <a:defRPr sz="795" b="1" i="0" u="none" strike="noStrike" baseline="0">
                    <a:solidFill>
                      <a:srgbClr val="000000"/>
                    </a:solidFill>
                    <a:latin typeface="Arial"/>
                    <a:ea typeface="Arial"/>
                    <a:cs typeface="Arial"/>
                  </a:defRPr>
                </a:pPr>
                <a:r>
                  <a:rPr lang="en-US"/>
                  <a:t>Year</a:t>
                </a:r>
                <a:endParaRPr lang="ar-SA"/>
              </a:p>
            </c:rich>
          </c:tx>
          <c:layout>
            <c:manualLayout>
              <c:xMode val="edge"/>
              <c:yMode val="edge"/>
              <c:x val="0.38744669671726273"/>
              <c:y val="0.9127774451277334"/>
            </c:manualLayout>
          </c:layout>
        </c:title>
        <c:numFmt formatCode="General" sourceLinked="1"/>
        <c:tickLblPos val="nextTo"/>
        <c:txPr>
          <a:bodyPr rot="0" vert="horz"/>
          <a:lstStyle/>
          <a:p>
            <a:pPr>
              <a:defRPr sz="707" b="0" i="0" u="none" strike="noStrike" baseline="0">
                <a:solidFill>
                  <a:srgbClr val="000000"/>
                </a:solidFill>
                <a:latin typeface="Arial"/>
                <a:ea typeface="Arial"/>
                <a:cs typeface="Arial"/>
              </a:defRPr>
            </a:pPr>
            <a:endParaRPr lang="ar-SA"/>
          </a:p>
        </c:txPr>
        <c:crossAx val="68997504"/>
        <c:crosses val="autoZero"/>
        <c:auto val="1"/>
        <c:lblAlgn val="ctr"/>
        <c:lblOffset val="100"/>
      </c:catAx>
      <c:valAx>
        <c:axId val="68997504"/>
        <c:scaling>
          <c:orientation val="minMax"/>
          <c:max val="30"/>
        </c:scaling>
        <c:axPos val="l"/>
        <c:title>
          <c:tx>
            <c:rich>
              <a:bodyPr/>
              <a:lstStyle/>
              <a:p>
                <a:pPr>
                  <a:defRPr sz="707" b="1" i="0" u="none" strike="noStrike" baseline="0">
                    <a:solidFill>
                      <a:srgbClr val="000000"/>
                    </a:solidFill>
                    <a:latin typeface="Arial"/>
                    <a:ea typeface="Arial"/>
                    <a:cs typeface="Arial"/>
                  </a:defRPr>
                </a:pPr>
                <a:r>
                  <a:rPr lang="en-US" sz="800" b="1"/>
                  <a:t>Age</a:t>
                </a:r>
                <a:endParaRPr lang="ar-SA" sz="800" b="1"/>
              </a:p>
            </c:rich>
          </c:tx>
          <c:layout>
            <c:manualLayout>
              <c:xMode val="edge"/>
              <c:yMode val="edge"/>
              <c:x val="4.0822633760400594E-3"/>
              <c:y val="0.31720607353987429"/>
            </c:manualLayout>
          </c:layout>
        </c:title>
        <c:numFmt formatCode="General" sourceLinked="1"/>
        <c:tickLblPos val="nextTo"/>
        <c:txPr>
          <a:bodyPr rot="0" vert="horz"/>
          <a:lstStyle/>
          <a:p>
            <a:pPr>
              <a:defRPr sz="707" b="0" i="0" u="none" strike="noStrike" baseline="0">
                <a:solidFill>
                  <a:srgbClr val="000000"/>
                </a:solidFill>
                <a:latin typeface="Arial"/>
                <a:ea typeface="Arial"/>
                <a:cs typeface="Arial"/>
              </a:defRPr>
            </a:pPr>
            <a:endParaRPr lang="ar-SA"/>
          </a:p>
        </c:txPr>
        <c:crossAx val="68903680"/>
        <c:crosses val="autoZero"/>
        <c:crossBetween val="between"/>
        <c:majorUnit val="10"/>
        <c:minorUnit val="5"/>
      </c:valAx>
    </c:plotArea>
    <c:legend>
      <c:legendPos val="r"/>
      <c:layout>
        <c:manualLayout>
          <c:xMode val="edge"/>
          <c:yMode val="edge"/>
          <c:x val="0.2588758666396539"/>
          <c:y val="0.57080520441702165"/>
          <c:w val="0.5968679067754995"/>
          <c:h val="0.1193536366930414"/>
        </c:manualLayout>
      </c:layout>
      <c:txPr>
        <a:bodyPr/>
        <a:lstStyle/>
        <a:p>
          <a:pPr>
            <a:defRPr sz="649" b="0" i="0" u="none" strike="noStrike" baseline="0">
              <a:solidFill>
                <a:srgbClr val="000000"/>
              </a:solidFill>
              <a:latin typeface="Arial"/>
              <a:ea typeface="Arial"/>
              <a:cs typeface="Arial"/>
            </a:defRPr>
          </a:pPr>
          <a:endParaRPr lang="ar-SA"/>
        </a:p>
      </c:txPr>
    </c:legend>
    <c:plotVisOnly val="1"/>
    <c:dispBlanksAs val="gap"/>
  </c:chart>
  <c:spPr>
    <a:ln>
      <a:noFill/>
    </a:ln>
  </c:spPr>
  <c:txPr>
    <a:bodyPr/>
    <a:lstStyle/>
    <a:p>
      <a:pPr>
        <a:defRPr sz="883"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084761463640743E-2"/>
          <c:y val="2.5304014921955151E-2"/>
          <c:w val="0.88961423939654605"/>
          <c:h val="0.7601941248120645"/>
        </c:manualLayout>
      </c:layout>
      <c:barChart>
        <c:barDir val="col"/>
        <c:grouping val="clustered"/>
        <c:ser>
          <c:idx val="1"/>
          <c:order val="0"/>
          <c:tx>
            <c:strRef>
              <c:f>Sheet1!$A$2</c:f>
              <c:strCache>
                <c:ptCount val="1"/>
                <c:pt idx="0">
                  <c:v>2000</c:v>
                </c:pt>
              </c:strCache>
            </c:strRef>
          </c:tx>
          <c:spPr>
            <a:solidFill>
              <a:srgbClr val="FFCC00"/>
            </a:solidFill>
            <a:ln w="11034">
              <a:solidFill>
                <a:srgbClr val="000000"/>
              </a:solidFill>
              <a:prstDash val="solid"/>
            </a:ln>
          </c:spPr>
          <c:cat>
            <c:strRef>
              <c:f>Sheet1!$B$1:$D$1</c:f>
              <c:strCache>
                <c:ptCount val="3"/>
                <c:pt idx="0">
                  <c:v>West Bank</c:v>
                </c:pt>
                <c:pt idx="1">
                  <c:v>Gaza Strip</c:v>
                </c:pt>
                <c:pt idx="2">
                  <c:v>Palestinian Territory</c:v>
                </c:pt>
              </c:strCache>
            </c:strRef>
          </c:cat>
          <c:val>
            <c:numRef>
              <c:f>Sheet1!$B$2:$D$2</c:f>
              <c:numCache>
                <c:formatCode>0.0</c:formatCode>
                <c:ptCount val="3"/>
                <c:pt idx="0">
                  <c:v>5.5</c:v>
                </c:pt>
                <c:pt idx="1">
                  <c:v>6.8</c:v>
                </c:pt>
                <c:pt idx="2" formatCode="General">
                  <c:v>5.9</c:v>
                </c:pt>
              </c:numCache>
            </c:numRef>
          </c:val>
        </c:ser>
        <c:ser>
          <c:idx val="2"/>
          <c:order val="1"/>
          <c:tx>
            <c:strRef>
              <c:f>Sheet1!$A$3</c:f>
              <c:strCache>
                <c:ptCount val="1"/>
                <c:pt idx="0">
                  <c:v>2006</c:v>
                </c:pt>
              </c:strCache>
            </c:strRef>
          </c:tx>
          <c:spPr>
            <a:solidFill>
              <a:srgbClr val="808000"/>
            </a:solidFill>
            <a:ln w="11034">
              <a:solidFill>
                <a:srgbClr val="000000"/>
              </a:solidFill>
              <a:prstDash val="solid"/>
            </a:ln>
          </c:spPr>
          <c:cat>
            <c:strRef>
              <c:f>Sheet1!$B$1:$D$1</c:f>
              <c:strCache>
                <c:ptCount val="3"/>
                <c:pt idx="0">
                  <c:v>West Bank</c:v>
                </c:pt>
                <c:pt idx="1">
                  <c:v>Gaza Strip</c:v>
                </c:pt>
                <c:pt idx="2">
                  <c:v>Palestinian Territory</c:v>
                </c:pt>
              </c:strCache>
            </c:strRef>
          </c:cat>
          <c:val>
            <c:numRef>
              <c:f>Sheet1!$B$3:$D$3</c:f>
              <c:numCache>
                <c:formatCode>0.0</c:formatCode>
                <c:ptCount val="3"/>
                <c:pt idx="0">
                  <c:v>4.2</c:v>
                </c:pt>
                <c:pt idx="1">
                  <c:v>5.4</c:v>
                </c:pt>
                <c:pt idx="2" formatCode="General">
                  <c:v>4.5999999999999996</c:v>
                </c:pt>
              </c:numCache>
            </c:numRef>
          </c:val>
        </c:ser>
        <c:ser>
          <c:idx val="0"/>
          <c:order val="2"/>
          <c:tx>
            <c:strRef>
              <c:f>Sheet1!$A$4</c:f>
              <c:strCache>
                <c:ptCount val="1"/>
                <c:pt idx="0">
                  <c:v>2010</c:v>
                </c:pt>
              </c:strCache>
            </c:strRef>
          </c:tx>
          <c:spPr>
            <a:solidFill>
              <a:srgbClr val="FFFFCC"/>
            </a:solidFill>
            <a:ln w="11034">
              <a:solidFill>
                <a:srgbClr val="000000"/>
              </a:solidFill>
              <a:prstDash val="solid"/>
            </a:ln>
          </c:spPr>
          <c:cat>
            <c:strRef>
              <c:f>Sheet1!$B$1:$D$1</c:f>
              <c:strCache>
                <c:ptCount val="3"/>
                <c:pt idx="0">
                  <c:v>West Bank</c:v>
                </c:pt>
                <c:pt idx="1">
                  <c:v>Gaza Strip</c:v>
                </c:pt>
                <c:pt idx="2">
                  <c:v>Palestinian Territory</c:v>
                </c:pt>
              </c:strCache>
            </c:strRef>
          </c:cat>
          <c:val>
            <c:numRef>
              <c:f>Sheet1!$B$4:$D$4</c:f>
              <c:numCache>
                <c:formatCode>General</c:formatCode>
                <c:ptCount val="3"/>
                <c:pt idx="0">
                  <c:v>3.8</c:v>
                </c:pt>
                <c:pt idx="1">
                  <c:v>4.9000000000000004</c:v>
                </c:pt>
                <c:pt idx="2">
                  <c:v>4.2</c:v>
                </c:pt>
              </c:numCache>
            </c:numRef>
          </c:val>
        </c:ser>
        <c:dLbls>
          <c:showVal val="1"/>
        </c:dLbls>
        <c:axId val="74641792"/>
        <c:axId val="74643712"/>
      </c:barChart>
      <c:catAx>
        <c:axId val="74641792"/>
        <c:scaling>
          <c:orientation val="minMax"/>
        </c:scaling>
        <c:axPos val="b"/>
        <c:title>
          <c:tx>
            <c:rich>
              <a:bodyPr/>
              <a:lstStyle/>
              <a:p>
                <a:pPr>
                  <a:defRPr sz="800" b="1"/>
                </a:pPr>
                <a:r>
                  <a:rPr lang="ar-SA" sz="800" b="1"/>
                  <a:t>ٌ</a:t>
                </a:r>
                <a:r>
                  <a:rPr lang="en-US" sz="800" b="1"/>
                  <a:t>Region</a:t>
                </a:r>
                <a:endParaRPr lang="ar-SA" sz="800" b="1"/>
              </a:p>
            </c:rich>
          </c:tx>
          <c:layout>
            <c:manualLayout>
              <c:xMode val="edge"/>
              <c:yMode val="edge"/>
              <c:x val="0.40422612400782498"/>
              <c:y val="0.89986970625499862"/>
            </c:manualLayout>
          </c:layout>
          <c:spPr>
            <a:noFill/>
            <a:ln w="22067">
              <a:noFill/>
            </a:ln>
          </c:spPr>
        </c:title>
        <c:numFmt formatCode="General" sourceLinked="1"/>
        <c:tickLblPos val="nextTo"/>
        <c:spPr>
          <a:ln w="2758">
            <a:solidFill>
              <a:srgbClr val="000000"/>
            </a:solidFill>
            <a:prstDash val="solid"/>
          </a:ln>
        </c:spPr>
        <c:txPr>
          <a:bodyPr rot="0" vert="horz"/>
          <a:lstStyle/>
          <a:p>
            <a:pPr>
              <a:defRPr/>
            </a:pPr>
            <a:endParaRPr lang="ar-SA"/>
          </a:p>
        </c:txPr>
        <c:crossAx val="74643712"/>
        <c:crossesAt val="0"/>
        <c:auto val="1"/>
        <c:lblAlgn val="ctr"/>
        <c:lblOffset val="100"/>
        <c:tickLblSkip val="1"/>
        <c:tickMarkSkip val="1"/>
      </c:catAx>
      <c:valAx>
        <c:axId val="74643712"/>
        <c:scaling>
          <c:orientation val="minMax"/>
          <c:max val="8"/>
          <c:min val="0"/>
        </c:scaling>
        <c:axPos val="l"/>
        <c:title>
          <c:tx>
            <c:rich>
              <a:bodyPr/>
              <a:lstStyle/>
              <a:p>
                <a:pPr>
                  <a:defRPr b="1"/>
                </a:pPr>
                <a:r>
                  <a:rPr lang="en-US" sz="800" b="1"/>
                  <a:t>Total</a:t>
                </a:r>
                <a:r>
                  <a:rPr lang="en-US" sz="800" b="1" baseline="0"/>
                  <a:t> Fertiliy Rate</a:t>
                </a:r>
                <a:endParaRPr lang="en-US" sz="800" b="1"/>
              </a:p>
            </c:rich>
          </c:tx>
          <c:layout>
            <c:manualLayout>
              <c:xMode val="edge"/>
              <c:yMode val="edge"/>
              <c:x val="4.9000860186594738E-3"/>
              <c:y val="0.23855772126844788"/>
            </c:manualLayout>
          </c:layout>
          <c:spPr>
            <a:noFill/>
            <a:ln w="22067">
              <a:noFill/>
            </a:ln>
          </c:spPr>
        </c:title>
        <c:numFmt formatCode="0" sourceLinked="0"/>
        <c:tickLblPos val="nextTo"/>
        <c:spPr>
          <a:ln w="2758">
            <a:solidFill>
              <a:srgbClr val="000000"/>
            </a:solidFill>
            <a:prstDash val="solid"/>
          </a:ln>
        </c:spPr>
        <c:txPr>
          <a:bodyPr rot="0" vert="horz"/>
          <a:lstStyle/>
          <a:p>
            <a:pPr>
              <a:defRPr/>
            </a:pPr>
            <a:endParaRPr lang="ar-SA"/>
          </a:p>
        </c:txPr>
        <c:crossAx val="74641792"/>
        <c:crosses val="autoZero"/>
        <c:crossBetween val="between"/>
        <c:majorUnit val="2"/>
        <c:minorUnit val="1"/>
      </c:valAx>
      <c:spPr>
        <a:noFill/>
        <a:ln w="22067">
          <a:noFill/>
        </a:ln>
      </c:spPr>
    </c:plotArea>
    <c:legend>
      <c:legendPos val="r"/>
      <c:layout>
        <c:manualLayout>
          <c:xMode val="edge"/>
          <c:yMode val="edge"/>
          <c:x val="0.10566956213972348"/>
          <c:y val="3.8809564459460766E-3"/>
          <c:w val="0.69059398809801431"/>
          <c:h val="6.5888648269788935E-2"/>
        </c:manualLayout>
      </c:layout>
      <c:spPr>
        <a:noFill/>
        <a:ln w="2758">
          <a:noFill/>
        </a:ln>
      </c:spPr>
    </c:legend>
    <c:plotVisOnly val="1"/>
    <c:dispBlanksAs val="gap"/>
  </c:chart>
  <c:spPr>
    <a:noFill/>
    <a:ln>
      <a:noFill/>
    </a:ln>
  </c:spPr>
  <c:txPr>
    <a:bodyPr/>
    <a:lstStyle/>
    <a:p>
      <a:pPr>
        <a:defRPr sz="69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922638070921307"/>
          <c:y val="7.1466089837015079E-2"/>
          <c:w val="0.8476051115734986"/>
          <c:h val="0.70522323729297465"/>
        </c:manualLayout>
      </c:layout>
      <c:lineChart>
        <c:grouping val="standard"/>
        <c:ser>
          <c:idx val="0"/>
          <c:order val="0"/>
          <c:tx>
            <c:strRef>
              <c:f>Sheet1!$A$2</c:f>
              <c:strCache>
                <c:ptCount val="1"/>
                <c:pt idx="0">
                  <c:v>West Bank</c:v>
                </c:pt>
              </c:strCache>
            </c:strRef>
          </c:tx>
          <c:spPr>
            <a:ln w="12713">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7.5115141047784034E-3"/>
                  <c:y val="-6.1802618328298933E-2"/>
                </c:manualLayout>
              </c:layout>
              <c:dLblPos val="r"/>
              <c:showVal val="1"/>
            </c:dLbl>
            <c:txPr>
              <a:bodyPr/>
              <a:lstStyle/>
              <a:p>
                <a:pPr>
                  <a:defRPr sz="801"/>
                </a:pPr>
                <a:endParaRPr lang="ar-SA"/>
              </a:p>
            </c:txPr>
            <c:dLblPos val="t"/>
            <c:showVal val="1"/>
          </c:dLbls>
          <c:cat>
            <c:numRef>
              <c:f>Sheet1!$B$1:$D$1</c:f>
              <c:numCache>
                <c:formatCode>General</c:formatCode>
                <c:ptCount val="3"/>
                <c:pt idx="0">
                  <c:v>2000</c:v>
                </c:pt>
                <c:pt idx="1">
                  <c:v>2006</c:v>
                </c:pt>
                <c:pt idx="2">
                  <c:v>2010</c:v>
                </c:pt>
              </c:numCache>
            </c:numRef>
          </c:cat>
          <c:val>
            <c:numRef>
              <c:f>Sheet1!$B$2:$D$2</c:f>
              <c:numCache>
                <c:formatCode>General</c:formatCode>
                <c:ptCount val="3"/>
                <c:pt idx="0">
                  <c:v>29.2</c:v>
                </c:pt>
                <c:pt idx="1">
                  <c:v>28.2</c:v>
                </c:pt>
                <c:pt idx="2">
                  <c:v>26.9</c:v>
                </c:pt>
              </c:numCache>
            </c:numRef>
          </c:val>
        </c:ser>
        <c:ser>
          <c:idx val="1"/>
          <c:order val="1"/>
          <c:tx>
            <c:strRef>
              <c:f>Sheet1!$A$3</c:f>
              <c:strCache>
                <c:ptCount val="1"/>
                <c:pt idx="0">
                  <c:v>Gaza Strip</c:v>
                </c:pt>
              </c:strCache>
            </c:strRef>
          </c:tx>
          <c:spPr>
            <a:ln w="12713">
              <a:solidFill>
                <a:srgbClr val="FF00FF"/>
              </a:solidFill>
              <a:prstDash val="solid"/>
            </a:ln>
          </c:spPr>
          <c:marker>
            <c:symbol val="square"/>
            <c:size val="4"/>
            <c:spPr>
              <a:solidFill>
                <a:srgbClr val="FF00FF"/>
              </a:solidFill>
              <a:ln>
                <a:solidFill>
                  <a:srgbClr val="FF00FF"/>
                </a:solidFill>
                <a:prstDash val="solid"/>
              </a:ln>
            </c:spPr>
          </c:marker>
          <c:dLbls>
            <c:txPr>
              <a:bodyPr/>
              <a:lstStyle/>
              <a:p>
                <a:pPr>
                  <a:defRPr sz="801"/>
                </a:pPr>
                <a:endParaRPr lang="ar-SA"/>
              </a:p>
            </c:txPr>
            <c:dLblPos val="b"/>
            <c:showVal val="1"/>
          </c:dLbls>
          <c:cat>
            <c:numRef>
              <c:f>Sheet1!$B$1:$D$1</c:f>
              <c:numCache>
                <c:formatCode>General</c:formatCode>
                <c:ptCount val="3"/>
                <c:pt idx="0">
                  <c:v>2000</c:v>
                </c:pt>
                <c:pt idx="1">
                  <c:v>2006</c:v>
                </c:pt>
                <c:pt idx="2">
                  <c:v>2010</c:v>
                </c:pt>
              </c:numCache>
            </c:numRef>
          </c:cat>
          <c:val>
            <c:numRef>
              <c:f>Sheet1!$B$3:$D$3</c:f>
              <c:numCache>
                <c:formatCode>0.0</c:formatCode>
                <c:ptCount val="3"/>
                <c:pt idx="0" formatCode="General">
                  <c:v>24.1</c:v>
                </c:pt>
                <c:pt idx="1">
                  <c:v>19.8</c:v>
                </c:pt>
                <c:pt idx="2" formatCode="General">
                  <c:v>14.6</c:v>
                </c:pt>
              </c:numCache>
            </c:numRef>
          </c:val>
        </c:ser>
        <c:ser>
          <c:idx val="2"/>
          <c:order val="2"/>
          <c:tx>
            <c:strRef>
              <c:f>Sheet1!$A$4</c:f>
              <c:strCache>
                <c:ptCount val="1"/>
                <c:pt idx="0">
                  <c:v>Palestinian Territory</c:v>
                </c:pt>
              </c:strCache>
            </c:strRef>
          </c:tx>
          <c:spPr>
            <a:ln w="12713">
              <a:solidFill>
                <a:srgbClr val="800000"/>
              </a:solidFill>
              <a:prstDash val="solid"/>
            </a:ln>
          </c:spPr>
          <c:marker>
            <c:symbol val="triangle"/>
            <c:size val="4"/>
            <c:spPr>
              <a:solidFill>
                <a:srgbClr val="FFFF00"/>
              </a:solidFill>
              <a:ln>
                <a:solidFill>
                  <a:srgbClr val="800000"/>
                </a:solidFill>
                <a:prstDash val="solid"/>
              </a:ln>
            </c:spPr>
          </c:marker>
          <c:dLbls>
            <c:dLbl>
              <c:idx val="0"/>
              <c:layout>
                <c:manualLayout>
                  <c:x val="6.5388184240392135E-3"/>
                  <c:y val="1.3842194897504581E-2"/>
                </c:manualLayout>
              </c:layout>
              <c:dLblPos val="r"/>
              <c:showVal val="1"/>
            </c:dLbl>
            <c:dLbl>
              <c:idx val="1"/>
              <c:layout>
                <c:manualLayout>
                  <c:x val="-1.4366037342014741E-2"/>
                  <c:y val="5.6233014366420732E-2"/>
                </c:manualLayout>
              </c:layout>
              <c:dLblPos val="r"/>
              <c:showVal val="1"/>
            </c:dLbl>
            <c:dLbl>
              <c:idx val="2"/>
              <c:layout>
                <c:manualLayout>
                  <c:x val="-6.2347438111687123E-2"/>
                  <c:y val="5.1145099026518967E-2"/>
                </c:manualLayout>
              </c:layout>
              <c:dLblPos val="r"/>
              <c:showVal val="1"/>
            </c:dLbl>
            <c:txPr>
              <a:bodyPr/>
              <a:lstStyle/>
              <a:p>
                <a:pPr>
                  <a:defRPr sz="801"/>
                </a:pPr>
                <a:endParaRPr lang="ar-SA"/>
              </a:p>
            </c:txPr>
            <c:dLblPos val="b"/>
            <c:showVal val="1"/>
          </c:dLbls>
          <c:cat>
            <c:numRef>
              <c:f>Sheet1!$B$1:$D$1</c:f>
              <c:numCache>
                <c:formatCode>General</c:formatCode>
                <c:ptCount val="3"/>
                <c:pt idx="0">
                  <c:v>2000</c:v>
                </c:pt>
                <c:pt idx="1">
                  <c:v>2006</c:v>
                </c:pt>
                <c:pt idx="2">
                  <c:v>2010</c:v>
                </c:pt>
              </c:numCache>
            </c:numRef>
          </c:cat>
          <c:val>
            <c:numRef>
              <c:f>Sheet1!$B$4:$D$4</c:f>
              <c:numCache>
                <c:formatCode>General</c:formatCode>
                <c:ptCount val="3"/>
                <c:pt idx="0">
                  <c:v>27.5</c:v>
                </c:pt>
                <c:pt idx="1">
                  <c:v>25.3</c:v>
                </c:pt>
                <c:pt idx="2">
                  <c:v>22.5</c:v>
                </c:pt>
              </c:numCache>
            </c:numRef>
          </c:val>
        </c:ser>
        <c:dLbls>
          <c:showVal val="1"/>
        </c:dLbls>
        <c:marker val="1"/>
        <c:axId val="80600448"/>
        <c:axId val="74122752"/>
      </c:lineChart>
      <c:catAx>
        <c:axId val="80600448"/>
        <c:scaling>
          <c:orientation val="minMax"/>
        </c:scaling>
        <c:axPos val="b"/>
        <c:title>
          <c:tx>
            <c:rich>
              <a:bodyPr/>
              <a:lstStyle/>
              <a:p>
                <a:pPr>
                  <a:defRPr sz="801" b="1" i="0" u="none" strike="noStrike" baseline="0">
                    <a:solidFill>
                      <a:srgbClr val="000000"/>
                    </a:solidFill>
                    <a:latin typeface="Arial"/>
                    <a:ea typeface="Arial"/>
                    <a:cs typeface="Arial"/>
                  </a:defRPr>
                </a:pPr>
                <a:r>
                  <a:rPr lang="en-US" sz="801"/>
                  <a:t>Year</a:t>
                </a:r>
                <a:endParaRPr lang="ar-SA" sz="801"/>
              </a:p>
            </c:rich>
          </c:tx>
          <c:layout>
            <c:manualLayout>
              <c:xMode val="edge"/>
              <c:yMode val="edge"/>
              <c:x val="0.40583663022530658"/>
              <c:y val="0.83990656623793558"/>
            </c:manualLayout>
          </c:layout>
          <c:spPr>
            <a:noFill/>
            <a:ln w="25425">
              <a:noFill/>
            </a:ln>
          </c:spPr>
        </c:title>
        <c:numFmt formatCode="General" sourceLinked="1"/>
        <c:tickLblPos val="nextTo"/>
        <c:spPr>
          <a:ln w="3179">
            <a:solidFill>
              <a:srgbClr val="000000"/>
            </a:solidFill>
            <a:prstDash val="solid"/>
          </a:ln>
        </c:spPr>
        <c:txPr>
          <a:bodyPr rot="0" vert="horz"/>
          <a:lstStyle/>
          <a:p>
            <a:pPr>
              <a:defRPr sz="801"/>
            </a:pPr>
            <a:endParaRPr lang="ar-SA"/>
          </a:p>
        </c:txPr>
        <c:crossAx val="74122752"/>
        <c:crossesAt val="5"/>
        <c:auto val="1"/>
        <c:lblAlgn val="ctr"/>
        <c:lblOffset val="100"/>
        <c:tickLblSkip val="1"/>
        <c:tickMarkSkip val="1"/>
      </c:catAx>
      <c:valAx>
        <c:axId val="74122752"/>
        <c:scaling>
          <c:orientation val="minMax"/>
          <c:max val="35"/>
          <c:min val="10"/>
        </c:scaling>
        <c:axPos val="l"/>
        <c:title>
          <c:tx>
            <c:rich>
              <a:bodyPr/>
              <a:lstStyle/>
              <a:p>
                <a:pPr>
                  <a:defRPr sz="801" b="1" i="0" u="none" strike="noStrike" baseline="0">
                    <a:solidFill>
                      <a:srgbClr val="000000"/>
                    </a:solidFill>
                    <a:latin typeface="Arial"/>
                    <a:ea typeface="Arial"/>
                    <a:cs typeface="Arial"/>
                  </a:defRPr>
                </a:pPr>
                <a:r>
                  <a:rPr lang="en-US" sz="801"/>
                  <a:t>Percent</a:t>
                </a:r>
                <a:endParaRPr lang="ar-SA" sz="801"/>
              </a:p>
            </c:rich>
          </c:tx>
          <c:layout>
            <c:manualLayout>
              <c:xMode val="edge"/>
              <c:yMode val="edge"/>
              <c:x val="1.3770943165010955E-2"/>
              <c:y val="0.28180197832523851"/>
            </c:manualLayout>
          </c:layout>
          <c:spPr>
            <a:noFill/>
            <a:ln w="25425">
              <a:noFill/>
            </a:ln>
          </c:spPr>
        </c:title>
        <c:numFmt formatCode="@" sourceLinked="0"/>
        <c:tickLblPos val="nextTo"/>
        <c:spPr>
          <a:ln w="3179">
            <a:solidFill>
              <a:srgbClr val="000000"/>
            </a:solidFill>
            <a:prstDash val="solid"/>
          </a:ln>
        </c:spPr>
        <c:txPr>
          <a:bodyPr rot="0" vert="horz"/>
          <a:lstStyle/>
          <a:p>
            <a:pPr>
              <a:defRPr sz="801"/>
            </a:pPr>
            <a:endParaRPr lang="ar-SA"/>
          </a:p>
        </c:txPr>
        <c:crossAx val="80600448"/>
        <c:crosses val="autoZero"/>
        <c:crossBetween val="between"/>
        <c:majorUnit val="5"/>
        <c:minorUnit val="5"/>
      </c:valAx>
      <c:spPr>
        <a:noFill/>
        <a:ln w="25421">
          <a:noFill/>
        </a:ln>
      </c:spPr>
    </c:plotArea>
    <c:legend>
      <c:legendPos val="r"/>
      <c:layout>
        <c:manualLayout>
          <c:xMode val="edge"/>
          <c:yMode val="edge"/>
          <c:x val="0.13030637623587712"/>
          <c:y val="0.50248588036443087"/>
          <c:w val="0.42435663802649498"/>
          <c:h val="0.20518296596166927"/>
        </c:manualLayout>
      </c:layout>
      <c:spPr>
        <a:noFill/>
        <a:ln w="3178">
          <a:noFill/>
        </a:ln>
      </c:spPr>
      <c:txPr>
        <a:bodyPr/>
        <a:lstStyle/>
        <a:p>
          <a:pPr>
            <a:defRPr sz="801"/>
          </a:pPr>
          <a:endParaRPr lang="ar-SA"/>
        </a:p>
      </c:txPr>
    </c:legend>
    <c:plotVisOnly val="1"/>
    <c:dispBlanksAs val="gap"/>
  </c:chart>
  <c:spPr>
    <a:noFill/>
    <a:ln>
      <a:noFill/>
    </a:ln>
  </c:spPr>
  <c:txPr>
    <a:bodyPr/>
    <a:lstStyle/>
    <a:p>
      <a:pPr>
        <a:defRPr sz="801"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644333904052476"/>
          <c:y val="6.8006755953089013E-2"/>
          <c:w val="0.83338264027496156"/>
          <c:h val="0.74276077814711572"/>
        </c:manualLayout>
      </c:layout>
      <c:barChart>
        <c:barDir val="col"/>
        <c:grouping val="clustered"/>
        <c:ser>
          <c:idx val="0"/>
          <c:order val="0"/>
          <c:tx>
            <c:strRef>
              <c:f>Sheet1!$A$2</c:f>
              <c:strCache>
                <c:ptCount val="1"/>
                <c:pt idx="0">
                  <c:v>2000</c:v>
                </c:pt>
              </c:strCache>
            </c:strRef>
          </c:tx>
          <c:spPr>
            <a:solidFill>
              <a:srgbClr val="FFCC00"/>
            </a:solidFill>
            <a:ln w="12681">
              <a:solidFill>
                <a:srgbClr val="000000"/>
              </a:solidFill>
              <a:prstDash val="solid"/>
            </a:ln>
          </c:spPr>
          <c:dLbls>
            <c:dLbl>
              <c:idx val="0"/>
              <c:layout>
                <c:manualLayout>
                  <c:x val="-2.5047926347262876E-2"/>
                  <c:y val="0"/>
                </c:manualLayout>
              </c:layout>
              <c:dLblPos val="outEnd"/>
              <c:showVal val="1"/>
            </c:dLbl>
            <c:dLbl>
              <c:idx val="2"/>
              <c:layout>
                <c:manualLayout>
                  <c:x val="-2.5047926347262876E-2"/>
                  <c:y val="0"/>
                </c:manualLayout>
              </c:layout>
              <c:dLblPos val="outEnd"/>
              <c:showVal val="1"/>
            </c:dLbl>
            <c:txPr>
              <a:bodyPr/>
              <a:lstStyle/>
              <a:p>
                <a:pPr>
                  <a:defRPr sz="799"/>
                </a:pPr>
                <a:endParaRPr lang="ar-SA"/>
              </a:p>
            </c:txPr>
            <c:showVal val="1"/>
          </c:dLbls>
          <c:cat>
            <c:strRef>
              <c:f>Sheet1!$B$1:$D$1</c:f>
              <c:strCache>
                <c:ptCount val="3"/>
                <c:pt idx="0">
                  <c:v>West Bank</c:v>
                </c:pt>
                <c:pt idx="1">
                  <c:v>Gaza Strip</c:v>
                </c:pt>
                <c:pt idx="2">
                  <c:v>Palestinian Territory</c:v>
                </c:pt>
              </c:strCache>
            </c:strRef>
          </c:cat>
          <c:val>
            <c:numRef>
              <c:f>Sheet1!$B$2:$D$2</c:f>
              <c:numCache>
                <c:formatCode>General</c:formatCode>
                <c:ptCount val="3"/>
                <c:pt idx="0">
                  <c:v>54.3</c:v>
                </c:pt>
                <c:pt idx="1">
                  <c:v>46.1</c:v>
                </c:pt>
                <c:pt idx="2">
                  <c:v>51.4</c:v>
                </c:pt>
              </c:numCache>
            </c:numRef>
          </c:val>
        </c:ser>
        <c:ser>
          <c:idx val="1"/>
          <c:order val="1"/>
          <c:tx>
            <c:strRef>
              <c:f>Sheet1!$A$3</c:f>
              <c:strCache>
                <c:ptCount val="1"/>
                <c:pt idx="0">
                  <c:v>2006</c:v>
                </c:pt>
              </c:strCache>
            </c:strRef>
          </c:tx>
          <c:spPr>
            <a:solidFill>
              <a:srgbClr val="808000"/>
            </a:solidFill>
            <a:ln w="12681">
              <a:solidFill>
                <a:srgbClr val="000000"/>
              </a:solidFill>
              <a:prstDash val="solid"/>
            </a:ln>
          </c:spPr>
          <c:dLbls>
            <c:txPr>
              <a:bodyPr/>
              <a:lstStyle/>
              <a:p>
                <a:pPr>
                  <a:defRPr sz="799"/>
                </a:pPr>
                <a:endParaRPr lang="ar-SA"/>
              </a:p>
            </c:txPr>
            <c:showVal val="1"/>
          </c:dLbls>
          <c:cat>
            <c:strRef>
              <c:f>Sheet1!$B$1:$D$1</c:f>
              <c:strCache>
                <c:ptCount val="3"/>
                <c:pt idx="0">
                  <c:v>West Bank</c:v>
                </c:pt>
                <c:pt idx="1">
                  <c:v>Gaza Strip</c:v>
                </c:pt>
                <c:pt idx="2">
                  <c:v>Palestinian Territory</c:v>
                </c:pt>
              </c:strCache>
            </c:strRef>
          </c:cat>
          <c:val>
            <c:numRef>
              <c:f>Sheet1!$B$3:$D$3</c:f>
              <c:numCache>
                <c:formatCode>0.0</c:formatCode>
                <c:ptCount val="3"/>
                <c:pt idx="0" formatCode="General">
                  <c:v>54.9</c:v>
                </c:pt>
                <c:pt idx="1">
                  <c:v>41.7</c:v>
                </c:pt>
                <c:pt idx="2" formatCode="General">
                  <c:v>50.2</c:v>
                </c:pt>
              </c:numCache>
            </c:numRef>
          </c:val>
        </c:ser>
        <c:ser>
          <c:idx val="2"/>
          <c:order val="2"/>
          <c:tx>
            <c:strRef>
              <c:f>Sheet1!$A$4</c:f>
              <c:strCache>
                <c:ptCount val="1"/>
                <c:pt idx="0">
                  <c:v>2010</c:v>
                </c:pt>
              </c:strCache>
            </c:strRef>
          </c:tx>
          <c:spPr>
            <a:solidFill>
              <a:srgbClr val="FFFFCC"/>
            </a:solidFill>
            <a:ln w="12681">
              <a:solidFill>
                <a:srgbClr val="800000"/>
              </a:solidFill>
              <a:prstDash val="solid"/>
            </a:ln>
          </c:spPr>
          <c:dLbls>
            <c:dLbl>
              <c:idx val="0"/>
              <c:layout>
                <c:manualLayout>
                  <c:x val="2.018978396931154E-2"/>
                  <c:y val="0"/>
                </c:manualLayout>
              </c:layout>
              <c:showVal val="1"/>
            </c:dLbl>
            <c:dLbl>
              <c:idx val="2"/>
              <c:layout>
                <c:manualLayout>
                  <c:x val="3.6341611144760796E-2"/>
                  <c:y val="-3.295797857731405E-2"/>
                </c:manualLayout>
              </c:layout>
              <c:showVal val="1"/>
            </c:dLbl>
            <c:txPr>
              <a:bodyPr/>
              <a:lstStyle/>
              <a:p>
                <a:pPr>
                  <a:defRPr sz="799"/>
                </a:pPr>
                <a:endParaRPr lang="ar-SA"/>
              </a:p>
            </c:txPr>
            <c:showVal val="1"/>
          </c:dLbls>
          <c:cat>
            <c:strRef>
              <c:f>Sheet1!$B$1:$D$1</c:f>
              <c:strCache>
                <c:ptCount val="3"/>
                <c:pt idx="0">
                  <c:v>West Bank</c:v>
                </c:pt>
                <c:pt idx="1">
                  <c:v>Gaza Strip</c:v>
                </c:pt>
                <c:pt idx="2">
                  <c:v>Palestinian Territory</c:v>
                </c:pt>
              </c:strCache>
            </c:strRef>
          </c:cat>
          <c:val>
            <c:numRef>
              <c:f>Sheet1!$B$4:$D$4</c:f>
              <c:numCache>
                <c:formatCode>General</c:formatCode>
                <c:ptCount val="3"/>
                <c:pt idx="0">
                  <c:v>55.1</c:v>
                </c:pt>
                <c:pt idx="1">
                  <c:v>48.1</c:v>
                </c:pt>
                <c:pt idx="2">
                  <c:v>52.5</c:v>
                </c:pt>
              </c:numCache>
            </c:numRef>
          </c:val>
        </c:ser>
        <c:dLbls>
          <c:showVal val="1"/>
        </c:dLbls>
        <c:axId val="74136960"/>
        <c:axId val="74188288"/>
      </c:barChart>
      <c:catAx>
        <c:axId val="74136960"/>
        <c:scaling>
          <c:orientation val="minMax"/>
        </c:scaling>
        <c:axPos val="b"/>
        <c:title>
          <c:tx>
            <c:rich>
              <a:bodyPr/>
              <a:lstStyle/>
              <a:p>
                <a:pPr>
                  <a:defRPr sz="799" b="1" i="0" u="none" strike="noStrike" baseline="0">
                    <a:solidFill>
                      <a:srgbClr val="000000"/>
                    </a:solidFill>
                    <a:latin typeface="Arial"/>
                    <a:ea typeface="Arial"/>
                    <a:cs typeface="Arial"/>
                  </a:defRPr>
                </a:pPr>
                <a:r>
                  <a:rPr lang="en-US" sz="799" b="1"/>
                  <a:t>Region</a:t>
                </a:r>
                <a:endParaRPr lang="ar-SA" sz="799" b="1"/>
              </a:p>
            </c:rich>
          </c:tx>
          <c:layout>
            <c:manualLayout>
              <c:xMode val="edge"/>
              <c:yMode val="edge"/>
              <c:x val="0.47757849007681452"/>
              <c:y val="0.91129051181848564"/>
            </c:manualLayout>
          </c:layout>
          <c:spPr>
            <a:noFill/>
            <a:ln w="25361">
              <a:noFill/>
            </a:ln>
          </c:spPr>
        </c:title>
        <c:numFmt formatCode="General" sourceLinked="1"/>
        <c:tickLblPos val="nextTo"/>
        <c:spPr>
          <a:ln w="3171">
            <a:solidFill>
              <a:srgbClr val="000000"/>
            </a:solidFill>
            <a:prstDash val="solid"/>
          </a:ln>
        </c:spPr>
        <c:txPr>
          <a:bodyPr rot="0" vert="horz"/>
          <a:lstStyle/>
          <a:p>
            <a:pPr>
              <a:defRPr sz="799" b="0" i="0" u="none" strike="noStrike" baseline="0">
                <a:solidFill>
                  <a:srgbClr val="000000"/>
                </a:solidFill>
                <a:latin typeface="Arial"/>
                <a:ea typeface="Arial"/>
                <a:cs typeface="Arial"/>
              </a:defRPr>
            </a:pPr>
            <a:endParaRPr lang="ar-SA"/>
          </a:p>
        </c:txPr>
        <c:crossAx val="74188288"/>
        <c:crossesAt val="10"/>
        <c:auto val="1"/>
        <c:lblAlgn val="ctr"/>
        <c:lblOffset val="100"/>
        <c:tickLblSkip val="1"/>
        <c:tickMarkSkip val="1"/>
      </c:catAx>
      <c:valAx>
        <c:axId val="74188288"/>
        <c:scaling>
          <c:orientation val="minMax"/>
          <c:max val="70"/>
          <c:min val="10"/>
        </c:scaling>
        <c:axPos val="l"/>
        <c:title>
          <c:tx>
            <c:rich>
              <a:bodyPr/>
              <a:lstStyle/>
              <a:p>
                <a:pPr>
                  <a:defRPr sz="799" b="1" i="0" u="none" strike="noStrike" baseline="0">
                    <a:solidFill>
                      <a:srgbClr val="000000"/>
                    </a:solidFill>
                    <a:latin typeface="Arial"/>
                    <a:ea typeface="Arial"/>
                    <a:cs typeface="Arial"/>
                  </a:defRPr>
                </a:pPr>
                <a:r>
                  <a:rPr lang="en-US" sz="799"/>
                  <a:t>Percent</a:t>
                </a:r>
                <a:endParaRPr lang="ar-SA" sz="799"/>
              </a:p>
            </c:rich>
          </c:tx>
          <c:layout>
            <c:manualLayout>
              <c:xMode val="edge"/>
              <c:yMode val="edge"/>
              <c:x val="2.0235568676265598E-2"/>
              <c:y val="0.34002426433855953"/>
            </c:manualLayout>
          </c:layout>
          <c:spPr>
            <a:noFill/>
            <a:ln w="25361">
              <a:noFill/>
            </a:ln>
          </c:spPr>
        </c:title>
        <c:numFmt formatCode="@" sourceLinked="0"/>
        <c:tickLblPos val="nextTo"/>
        <c:spPr>
          <a:ln w="3171">
            <a:solidFill>
              <a:srgbClr val="000000"/>
            </a:solidFill>
            <a:prstDash val="solid"/>
          </a:ln>
        </c:spPr>
        <c:txPr>
          <a:bodyPr rot="0" vert="horz"/>
          <a:lstStyle/>
          <a:p>
            <a:pPr>
              <a:defRPr sz="799" b="0" i="0" u="none" strike="noStrike" baseline="0">
                <a:solidFill>
                  <a:srgbClr val="000000"/>
                </a:solidFill>
                <a:latin typeface="Arial"/>
                <a:ea typeface="Arial"/>
                <a:cs typeface="Arial"/>
              </a:defRPr>
            </a:pPr>
            <a:endParaRPr lang="ar-SA"/>
          </a:p>
        </c:txPr>
        <c:crossAx val="74136960"/>
        <c:crosses val="autoZero"/>
        <c:crossBetween val="between"/>
        <c:majorUnit val="10"/>
        <c:minorUnit val="10"/>
      </c:valAx>
      <c:spPr>
        <a:noFill/>
        <a:ln w="25373">
          <a:noFill/>
        </a:ln>
      </c:spPr>
    </c:plotArea>
    <c:legend>
      <c:legendPos val="r"/>
      <c:layout>
        <c:manualLayout>
          <c:xMode val="edge"/>
          <c:yMode val="edge"/>
          <c:x val="0.162046606236079"/>
          <c:y val="1.8806689470311645E-2"/>
          <c:w val="0.46471167930239282"/>
          <c:h val="0.1048384039855236"/>
        </c:manualLayout>
      </c:layout>
      <c:spPr>
        <a:noFill/>
        <a:ln w="3172">
          <a:noFill/>
        </a:ln>
      </c:spPr>
      <c:txPr>
        <a:bodyPr/>
        <a:lstStyle/>
        <a:p>
          <a:pPr>
            <a:defRPr sz="799" b="0" i="0" u="none" strike="noStrike" baseline="0">
              <a:solidFill>
                <a:srgbClr val="000000"/>
              </a:solidFill>
              <a:latin typeface="Arial"/>
              <a:ea typeface="Arial"/>
              <a:cs typeface="Arial"/>
            </a:defRPr>
          </a:pPr>
          <a:endParaRPr lang="ar-SA"/>
        </a:p>
      </c:txPr>
    </c:legend>
    <c:plotVisOnly val="1"/>
    <c:dispBlanksAs val="gap"/>
  </c:chart>
  <c:spPr>
    <a:noFill/>
    <a:ln>
      <a:noFill/>
    </a:ln>
  </c:spPr>
  <c:txPr>
    <a:bodyPr/>
    <a:lstStyle/>
    <a:p>
      <a:pPr>
        <a:defRPr sz="974"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26659215695541"/>
          <c:y val="5.0691244239631485E-2"/>
          <c:w val="0.8357663447263598"/>
          <c:h val="0.75115207373271886"/>
        </c:manualLayout>
      </c:layout>
      <c:lineChart>
        <c:grouping val="standard"/>
        <c:ser>
          <c:idx val="0"/>
          <c:order val="0"/>
          <c:tx>
            <c:strRef>
              <c:f>Sheet1!$A$2</c:f>
              <c:strCache>
                <c:ptCount val="1"/>
                <c:pt idx="0">
                  <c:v>Males</c:v>
                </c:pt>
              </c:strCache>
            </c:strRef>
          </c:tx>
          <c:spPr>
            <a:ln w="12693">
              <a:solidFill>
                <a:srgbClr val="000080"/>
              </a:solidFill>
              <a:prstDash val="solid"/>
            </a:ln>
          </c:spPr>
          <c:marker>
            <c:symbol val="diamond"/>
            <c:size val="4"/>
            <c:spPr>
              <a:solidFill>
                <a:srgbClr val="000080"/>
              </a:solidFill>
              <a:ln>
                <a:solidFill>
                  <a:srgbClr val="000080"/>
                </a:solidFill>
                <a:prstDash val="solid"/>
              </a:ln>
            </c:spPr>
          </c:marker>
          <c:dLbls>
            <c:spPr>
              <a:noFill/>
              <a:ln w="25387">
                <a:noFill/>
              </a:ln>
            </c:spPr>
            <c:txPr>
              <a:bodyPr/>
              <a:lstStyle/>
              <a:p>
                <a:pPr>
                  <a:defRPr sz="800" b="1" i="0" u="none" strike="noStrike" baseline="0">
                    <a:solidFill>
                      <a:srgbClr val="000000"/>
                    </a:solidFill>
                    <a:latin typeface="Arial"/>
                    <a:ea typeface="Arial"/>
                    <a:cs typeface="Arial"/>
                  </a:defRPr>
                </a:pPr>
                <a:endParaRPr lang="ar-SA"/>
              </a:p>
            </c:txPr>
            <c:dLblPos val="t"/>
            <c:showVal val="1"/>
          </c:dLbls>
          <c:cat>
            <c:numRef>
              <c:f>Sheet1!$B$1:$H$1</c:f>
              <c:numCache>
                <c:formatCode>General</c:formatCode>
                <c:ptCount val="7"/>
                <c:pt idx="0">
                  <c:v>1995</c:v>
                </c:pt>
                <c:pt idx="1">
                  <c:v>1999</c:v>
                </c:pt>
                <c:pt idx="2">
                  <c:v>2000</c:v>
                </c:pt>
                <c:pt idx="3">
                  <c:v>2002</c:v>
                </c:pt>
                <c:pt idx="4">
                  <c:v>2007</c:v>
                </c:pt>
                <c:pt idx="5">
                  <c:v>2009</c:v>
                </c:pt>
                <c:pt idx="6">
                  <c:v>2010</c:v>
                </c:pt>
              </c:numCache>
            </c:numRef>
          </c:cat>
          <c:val>
            <c:numRef>
              <c:f>Sheet1!$B$2:$H$2</c:f>
              <c:numCache>
                <c:formatCode>General</c:formatCode>
                <c:ptCount val="7"/>
                <c:pt idx="0">
                  <c:v>66.900000000000006</c:v>
                </c:pt>
                <c:pt idx="1">
                  <c:v>70.7</c:v>
                </c:pt>
                <c:pt idx="2">
                  <c:v>69.5</c:v>
                </c:pt>
                <c:pt idx="3">
                  <c:v>64.5</c:v>
                </c:pt>
                <c:pt idx="4">
                  <c:v>67.099999999999994</c:v>
                </c:pt>
                <c:pt idx="5">
                  <c:v>67</c:v>
                </c:pt>
                <c:pt idx="6">
                  <c:v>66.8</c:v>
                </c:pt>
              </c:numCache>
            </c:numRef>
          </c:val>
        </c:ser>
        <c:ser>
          <c:idx val="1"/>
          <c:order val="1"/>
          <c:tx>
            <c:strRef>
              <c:f>Sheet1!$A$3</c:f>
              <c:strCache>
                <c:ptCount val="1"/>
                <c:pt idx="0">
                  <c:v>Females</c:v>
                </c:pt>
              </c:strCache>
            </c:strRef>
          </c:tx>
          <c:spPr>
            <a:ln w="12693">
              <a:solidFill>
                <a:srgbClr val="FF00FF"/>
              </a:solidFill>
              <a:prstDash val="solid"/>
            </a:ln>
          </c:spPr>
          <c:marker>
            <c:symbol val="square"/>
            <c:size val="4"/>
            <c:spPr>
              <a:solidFill>
                <a:srgbClr val="FF00FF"/>
              </a:solidFill>
              <a:ln>
                <a:solidFill>
                  <a:srgbClr val="FF00FF"/>
                </a:solidFill>
                <a:prstDash val="solid"/>
              </a:ln>
            </c:spPr>
          </c:marker>
          <c:dLbls>
            <c:spPr>
              <a:noFill/>
              <a:ln w="25387">
                <a:noFill/>
              </a:ln>
            </c:spPr>
            <c:txPr>
              <a:bodyPr/>
              <a:lstStyle/>
              <a:p>
                <a:pPr>
                  <a:defRPr sz="800" b="1" i="0" u="none" strike="noStrike" baseline="0">
                    <a:solidFill>
                      <a:srgbClr val="000000"/>
                    </a:solidFill>
                    <a:latin typeface="Arial"/>
                    <a:ea typeface="Arial"/>
                    <a:cs typeface="Arial"/>
                  </a:defRPr>
                </a:pPr>
                <a:endParaRPr lang="ar-SA"/>
              </a:p>
            </c:txPr>
            <c:dLblPos val="t"/>
            <c:showVal val="1"/>
          </c:dLbls>
          <c:cat>
            <c:numRef>
              <c:f>Sheet1!$B$1:$H$1</c:f>
              <c:numCache>
                <c:formatCode>General</c:formatCode>
                <c:ptCount val="7"/>
                <c:pt idx="0">
                  <c:v>1995</c:v>
                </c:pt>
                <c:pt idx="1">
                  <c:v>1999</c:v>
                </c:pt>
                <c:pt idx="2">
                  <c:v>2000</c:v>
                </c:pt>
                <c:pt idx="3">
                  <c:v>2002</c:v>
                </c:pt>
                <c:pt idx="4">
                  <c:v>2007</c:v>
                </c:pt>
                <c:pt idx="5">
                  <c:v>2009</c:v>
                </c:pt>
                <c:pt idx="6">
                  <c:v>2010</c:v>
                </c:pt>
              </c:numCache>
            </c:numRef>
          </c:cat>
          <c:val>
            <c:numRef>
              <c:f>Sheet1!$B$3:$H$3</c:f>
              <c:numCache>
                <c:formatCode>General</c:formatCode>
                <c:ptCount val="7"/>
                <c:pt idx="0">
                  <c:v>11.2</c:v>
                </c:pt>
                <c:pt idx="1">
                  <c:v>12.3</c:v>
                </c:pt>
                <c:pt idx="2">
                  <c:v>12.9</c:v>
                </c:pt>
                <c:pt idx="3">
                  <c:v>10.5</c:v>
                </c:pt>
                <c:pt idx="4">
                  <c:v>15.7</c:v>
                </c:pt>
                <c:pt idx="5">
                  <c:v>15.5</c:v>
                </c:pt>
                <c:pt idx="6">
                  <c:v>14.7</c:v>
                </c:pt>
              </c:numCache>
            </c:numRef>
          </c:val>
        </c:ser>
        <c:dLbls>
          <c:showVal val="1"/>
        </c:dLbls>
        <c:marker val="1"/>
        <c:axId val="74222592"/>
        <c:axId val="74248960"/>
      </c:lineChart>
      <c:catAx>
        <c:axId val="74222592"/>
        <c:scaling>
          <c:orientation val="minMax"/>
        </c:scaling>
        <c:axPos val="b"/>
        <c:title>
          <c:tx>
            <c:rich>
              <a:bodyPr/>
              <a:lstStyle/>
              <a:p>
                <a:pPr>
                  <a:defRPr sz="800" b="1" i="0" u="none" strike="noStrike" baseline="0">
                    <a:solidFill>
                      <a:srgbClr val="000000"/>
                    </a:solidFill>
                    <a:latin typeface="Arial"/>
                    <a:ea typeface="Arial"/>
                    <a:cs typeface="Arial"/>
                  </a:defRPr>
                </a:pPr>
                <a:r>
                  <a:rPr lang="en-US"/>
                  <a:t>Year</a:t>
                </a:r>
                <a:endParaRPr lang="ar-SA"/>
              </a:p>
            </c:rich>
          </c:tx>
          <c:layout>
            <c:manualLayout>
              <c:xMode val="edge"/>
              <c:yMode val="edge"/>
              <c:x val="0.48837209302325729"/>
              <c:y val="0.90322580645161421"/>
            </c:manualLayout>
          </c:layout>
          <c:spPr>
            <a:noFill/>
            <a:ln w="25387">
              <a:noFill/>
            </a:ln>
          </c:spPr>
        </c:title>
        <c:numFmt formatCode="General" sourceLinked="1"/>
        <c:tickLblPos val="nextTo"/>
        <c:spPr>
          <a:ln w="3173">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ar-SA"/>
          </a:p>
        </c:txPr>
        <c:crossAx val="74248960"/>
        <c:crosses val="autoZero"/>
        <c:auto val="1"/>
        <c:lblAlgn val="ctr"/>
        <c:lblOffset val="100"/>
        <c:tickLblSkip val="1"/>
        <c:tickMarkSkip val="1"/>
      </c:catAx>
      <c:valAx>
        <c:axId val="74248960"/>
        <c:scaling>
          <c:orientation val="minMax"/>
        </c:scaling>
        <c:axPos val="l"/>
        <c:title>
          <c:tx>
            <c:rich>
              <a:bodyPr/>
              <a:lstStyle/>
              <a:p>
                <a:pPr>
                  <a:defRPr sz="800" b="1" i="0" u="none" strike="noStrike" baseline="0">
                    <a:solidFill>
                      <a:srgbClr val="000000"/>
                    </a:solidFill>
                    <a:latin typeface="Arial"/>
                    <a:ea typeface="Arial"/>
                    <a:cs typeface="Arial"/>
                  </a:defRPr>
                </a:pPr>
                <a:r>
                  <a:rPr lang="en-US"/>
                  <a:t>Percent</a:t>
                </a:r>
                <a:endParaRPr lang="ar-SA"/>
              </a:p>
            </c:rich>
          </c:tx>
          <c:layout>
            <c:manualLayout>
              <c:xMode val="edge"/>
              <c:yMode val="edge"/>
              <c:x val="0"/>
              <c:y val="0.35483870967742054"/>
            </c:manualLayout>
          </c:layout>
          <c:spPr>
            <a:noFill/>
            <a:ln w="25387">
              <a:noFill/>
            </a:ln>
          </c:spPr>
        </c:title>
        <c:numFmt formatCode="General" sourceLinked="1"/>
        <c:tickLblPos val="nextTo"/>
        <c:spPr>
          <a:ln w="3173">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ar-SA"/>
          </a:p>
        </c:txPr>
        <c:crossAx val="74222592"/>
        <c:crosses val="autoZero"/>
        <c:crossBetween val="between"/>
      </c:valAx>
      <c:spPr>
        <a:noFill/>
        <a:ln w="25387">
          <a:noFill/>
        </a:ln>
      </c:spPr>
    </c:plotArea>
    <c:legend>
      <c:legendPos val="r"/>
      <c:layout>
        <c:manualLayout>
          <c:xMode val="edge"/>
          <c:yMode val="edge"/>
          <c:x val="0.29900332225913628"/>
          <c:y val="0.32258064516129126"/>
          <c:w val="0.47840531561461885"/>
          <c:h val="0.12903225806451613"/>
        </c:manualLayout>
      </c:layout>
      <c:spPr>
        <a:noFill/>
        <a:ln w="3173">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ar-SA"/>
        </a:p>
      </c:txPr>
    </c:legend>
    <c:plotVisOnly val="1"/>
    <c:dispBlanksAs val="gap"/>
  </c:chart>
  <c:spPr>
    <a:noFill/>
    <a:ln>
      <a:noFill/>
    </a:ln>
  </c:spPr>
  <c:txPr>
    <a:bodyPr/>
    <a:lstStyle/>
    <a:p>
      <a:pPr>
        <a:defRPr sz="875" b="1" i="0" u="none" strike="noStrike" baseline="0">
          <a:solidFill>
            <a:srgbClr val="000000"/>
          </a:solidFill>
          <a:latin typeface="Calibri"/>
          <a:ea typeface="Calibri"/>
          <a:cs typeface="Calibri"/>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6200640882472694"/>
          <c:y val="6.6325552391057377E-2"/>
          <c:w val="0.83593008655625634"/>
          <c:h val="0.70769895668686755"/>
        </c:manualLayout>
      </c:layout>
      <c:lineChart>
        <c:grouping val="standard"/>
        <c:ser>
          <c:idx val="0"/>
          <c:order val="0"/>
          <c:tx>
            <c:strRef>
              <c:f>Sheet1!$B$1</c:f>
              <c:strCache>
                <c:ptCount val="1"/>
                <c:pt idx="0">
                  <c:v>West Bank</c:v>
                </c:pt>
              </c:strCache>
            </c:strRef>
          </c:tx>
          <c:spPr>
            <a:ln w="12677">
              <a:solidFill>
                <a:srgbClr val="000000"/>
              </a:solidFill>
              <a:prstDash val="solid"/>
            </a:ln>
          </c:spPr>
          <c:marker>
            <c:symbol val="diamond"/>
            <c:size val="3"/>
            <c:spPr>
              <a:solidFill>
                <a:srgbClr val="000080"/>
              </a:solidFill>
              <a:ln>
                <a:solidFill>
                  <a:srgbClr val="000080"/>
                </a:solidFill>
                <a:prstDash val="solid"/>
              </a:ln>
            </c:spPr>
          </c:marker>
          <c:dLbls>
            <c:dLbl>
              <c:idx val="0"/>
              <c:layout>
                <c:manualLayout>
                  <c:x val="-2.4067991938082768E-2"/>
                  <c:y val="-5.8849454416978281E-2"/>
                </c:manualLayout>
              </c:layout>
              <c:spPr>
                <a:noFill/>
                <a:ln w="25354">
                  <a:noFill/>
                </a:ln>
              </c:spPr>
              <c:txPr>
                <a:bodyPr/>
                <a:lstStyle/>
                <a:p>
                  <a:pPr>
                    <a:defRPr/>
                  </a:pPr>
                  <a:endParaRPr lang="ar-SA"/>
                </a:p>
              </c:txPr>
              <c:dLblPos val="r"/>
              <c:showVal val="1"/>
            </c:dLbl>
            <c:dLbl>
              <c:idx val="1"/>
              <c:layout>
                <c:manualLayout>
                  <c:x val="-2.584425758772858E-2"/>
                  <c:y val="-5.0888702364778896E-2"/>
                </c:manualLayout>
              </c:layout>
              <c:spPr>
                <a:noFill/>
                <a:ln w="25354">
                  <a:noFill/>
                </a:ln>
              </c:spPr>
              <c:txPr>
                <a:bodyPr/>
                <a:lstStyle/>
                <a:p>
                  <a:pPr>
                    <a:defRPr/>
                  </a:pPr>
                  <a:endParaRPr lang="ar-SA"/>
                </a:p>
              </c:txPr>
              <c:dLblPos val="r"/>
              <c:showVal val="1"/>
            </c:dLbl>
            <c:dLbl>
              <c:idx val="2"/>
              <c:layout>
                <c:manualLayout>
                  <c:x val="-5.9744001090472523E-2"/>
                  <c:y val="-3.7532347274783391E-2"/>
                </c:manualLayout>
              </c:layout>
              <c:spPr>
                <a:noFill/>
                <a:ln w="25354">
                  <a:noFill/>
                </a:ln>
              </c:spPr>
              <c:txPr>
                <a:bodyPr/>
                <a:lstStyle/>
                <a:p>
                  <a:pPr>
                    <a:defRPr/>
                  </a:pPr>
                  <a:endParaRPr lang="ar-SA"/>
                </a:p>
              </c:txPr>
              <c:dLblPos val="r"/>
              <c:showVal val="1"/>
            </c:dLbl>
            <c:dLbl>
              <c:idx val="3"/>
              <c:layout>
                <c:manualLayout>
                  <c:x val="-5.2588430505968814E-2"/>
                  <c:y val="-7.7171198820357612E-2"/>
                </c:manualLayout>
              </c:layout>
              <c:spPr>
                <a:noFill/>
                <a:ln w="25354">
                  <a:noFill/>
                </a:ln>
              </c:spPr>
              <c:txPr>
                <a:bodyPr/>
                <a:lstStyle/>
                <a:p>
                  <a:pPr>
                    <a:defRPr/>
                  </a:pPr>
                  <a:endParaRPr lang="ar-SA"/>
                </a:p>
              </c:txPr>
              <c:dLblPos val="r"/>
              <c:showVal val="1"/>
            </c:dLbl>
            <c:dLbl>
              <c:idx val="4"/>
              <c:layout>
                <c:manualLayout>
                  <c:x val="-2.0515677707807042E-2"/>
                  <c:y val="-3.6713722555515596E-2"/>
                </c:manualLayout>
              </c:layout>
              <c:spPr>
                <a:noFill/>
                <a:ln w="25354">
                  <a:noFill/>
                </a:ln>
              </c:spPr>
              <c:txPr>
                <a:bodyPr/>
                <a:lstStyle/>
                <a:p>
                  <a:pPr>
                    <a:defRPr/>
                  </a:pPr>
                  <a:endParaRPr lang="ar-SA"/>
                </a:p>
              </c:txPr>
              <c:dLblPos val="r"/>
              <c:showVal val="1"/>
            </c:dLbl>
            <c:dLbl>
              <c:idx val="5"/>
              <c:layout>
                <c:manualLayout>
                  <c:x val="-1.8739545488890466E-2"/>
                  <c:y val="-3.6325604997802678E-2"/>
                </c:manualLayout>
              </c:layout>
              <c:spPr>
                <a:noFill/>
                <a:ln w="25354">
                  <a:noFill/>
                </a:ln>
              </c:spPr>
              <c:txPr>
                <a:bodyPr/>
                <a:lstStyle/>
                <a:p>
                  <a:pPr>
                    <a:defRPr/>
                  </a:pPr>
                  <a:endParaRPr lang="ar-SA"/>
                </a:p>
              </c:txPr>
              <c:dLblPos val="r"/>
              <c:showVal val="1"/>
            </c:dLbl>
            <c:dLbl>
              <c:idx val="6"/>
              <c:layout>
                <c:manualLayout>
                  <c:x val="-0.53155349141472896"/>
                  <c:y val="-1.8984692016118323E-2"/>
                </c:manualLayout>
              </c:layout>
              <c:spPr>
                <a:noFill/>
                <a:ln w="25354">
                  <a:noFill/>
                </a:ln>
              </c:spPr>
              <c:txPr>
                <a:bodyPr/>
                <a:lstStyle/>
                <a:p>
                  <a:pPr>
                    <a:defRPr/>
                  </a:pPr>
                  <a:endParaRPr lang="ar-SA"/>
                </a:p>
              </c:txPr>
              <c:dLblPos val="r"/>
              <c:showVal val="1"/>
            </c:dLbl>
            <c:dLbl>
              <c:idx val="7"/>
              <c:layout>
                <c:manualLayout>
                  <c:xMode val="edge"/>
                  <c:yMode val="edge"/>
                  <c:x val="0.42273534635879179"/>
                  <c:y val="0.436893203883502"/>
                </c:manualLayout>
              </c:layout>
              <c:spPr>
                <a:noFill/>
                <a:ln w="25354">
                  <a:noFill/>
                </a:ln>
              </c:spPr>
              <c:txPr>
                <a:bodyPr/>
                <a:lstStyle/>
                <a:p>
                  <a:pPr>
                    <a:defRPr/>
                  </a:pPr>
                  <a:endParaRPr lang="ar-SA"/>
                </a:p>
              </c:txPr>
              <c:dLblPos val="r"/>
              <c:showVal val="1"/>
            </c:dLbl>
            <c:dLbl>
              <c:idx val="8"/>
              <c:layout>
                <c:manualLayout>
                  <c:xMode val="edge"/>
                  <c:yMode val="edge"/>
                  <c:x val="0.28952042628775554"/>
                  <c:y val="0.15533980582524659"/>
                </c:manualLayout>
              </c:layout>
              <c:spPr>
                <a:noFill/>
                <a:ln w="25354">
                  <a:noFill/>
                </a:ln>
              </c:spPr>
              <c:txPr>
                <a:bodyPr/>
                <a:lstStyle/>
                <a:p>
                  <a:pPr>
                    <a:defRPr/>
                  </a:pPr>
                  <a:endParaRPr lang="ar-SA"/>
                </a:p>
              </c:txPr>
              <c:dLblPos val="r"/>
              <c:showVal val="1"/>
            </c:dLbl>
            <c:dLbl>
              <c:idx val="9"/>
              <c:layout>
                <c:manualLayout>
                  <c:xMode val="edge"/>
                  <c:yMode val="edge"/>
                  <c:x val="0.31083481349911946"/>
                  <c:y val="0.15533980582524659"/>
                </c:manualLayout>
              </c:layout>
              <c:spPr>
                <a:noFill/>
                <a:ln w="25354">
                  <a:noFill/>
                </a:ln>
              </c:spPr>
              <c:txPr>
                <a:bodyPr/>
                <a:lstStyle/>
                <a:p>
                  <a:pPr>
                    <a:defRPr/>
                  </a:pPr>
                  <a:endParaRPr lang="ar-SA"/>
                </a:p>
              </c:txPr>
              <c:dLblPos val="r"/>
              <c:showVal val="1"/>
            </c:dLbl>
            <c:dLbl>
              <c:idx val="10"/>
              <c:layout>
                <c:manualLayout>
                  <c:xMode val="edge"/>
                  <c:yMode val="edge"/>
                  <c:x val="0.33214920071047982"/>
                  <c:y val="0.14077669902912621"/>
                </c:manualLayout>
              </c:layout>
              <c:spPr>
                <a:noFill/>
                <a:ln w="25354">
                  <a:noFill/>
                </a:ln>
              </c:spPr>
              <c:txPr>
                <a:bodyPr/>
                <a:lstStyle/>
                <a:p>
                  <a:pPr>
                    <a:defRPr/>
                  </a:pPr>
                  <a:endParaRPr lang="ar-SA"/>
                </a:p>
              </c:txPr>
              <c:dLblPos val="r"/>
              <c:showVal val="1"/>
            </c:dLbl>
            <c:dLbl>
              <c:idx val="11"/>
              <c:layout>
                <c:manualLayout>
                  <c:xMode val="edge"/>
                  <c:yMode val="edge"/>
                  <c:x val="0.3516873889875744"/>
                  <c:y val="0.14077669902912621"/>
                </c:manualLayout>
              </c:layout>
              <c:spPr>
                <a:noFill/>
                <a:ln w="25354">
                  <a:noFill/>
                </a:ln>
              </c:spPr>
              <c:txPr>
                <a:bodyPr/>
                <a:lstStyle/>
                <a:p>
                  <a:pPr>
                    <a:defRPr/>
                  </a:pPr>
                  <a:endParaRPr lang="ar-SA"/>
                </a:p>
              </c:txPr>
              <c:dLblPos val="r"/>
              <c:showVal val="1"/>
            </c:dLbl>
            <c:dLbl>
              <c:idx val="12"/>
              <c:layout>
                <c:manualLayout>
                  <c:xMode val="edge"/>
                  <c:yMode val="edge"/>
                  <c:x val="0.37477797513322436"/>
                  <c:y val="0.14077669902912621"/>
                </c:manualLayout>
              </c:layout>
              <c:spPr>
                <a:noFill/>
                <a:ln w="25354">
                  <a:noFill/>
                </a:ln>
              </c:spPr>
              <c:txPr>
                <a:bodyPr/>
                <a:lstStyle/>
                <a:p>
                  <a:pPr>
                    <a:defRPr/>
                  </a:pPr>
                  <a:endParaRPr lang="ar-SA"/>
                </a:p>
              </c:txPr>
              <c:dLblPos val="r"/>
              <c:showVal val="1"/>
            </c:dLbl>
            <c:dLbl>
              <c:idx val="13"/>
              <c:layout>
                <c:manualLayout>
                  <c:xMode val="edge"/>
                  <c:yMode val="edge"/>
                  <c:x val="0.39609236234459527"/>
                  <c:y val="0.13106796116504854"/>
                </c:manualLayout>
              </c:layout>
              <c:spPr>
                <a:noFill/>
                <a:ln w="25354">
                  <a:noFill/>
                </a:ln>
              </c:spPr>
              <c:txPr>
                <a:bodyPr/>
                <a:lstStyle/>
                <a:p>
                  <a:pPr>
                    <a:defRPr/>
                  </a:pPr>
                  <a:endParaRPr lang="ar-SA"/>
                </a:p>
              </c:txPr>
              <c:dLblPos val="r"/>
              <c:showVal val="1"/>
            </c:dLbl>
            <c:dLbl>
              <c:idx val="14"/>
              <c:layout>
                <c:manualLayout>
                  <c:xMode val="edge"/>
                  <c:yMode val="edge"/>
                  <c:x val="0.40319715808169709"/>
                  <c:y val="0.13592233009709276"/>
                </c:manualLayout>
              </c:layout>
              <c:spPr>
                <a:noFill/>
                <a:ln w="25354">
                  <a:noFill/>
                </a:ln>
              </c:spPr>
              <c:txPr>
                <a:bodyPr/>
                <a:lstStyle/>
                <a:p>
                  <a:pPr>
                    <a:defRPr/>
                  </a:pPr>
                  <a:endParaRPr lang="ar-SA"/>
                </a:p>
              </c:txPr>
              <c:dLblPos val="r"/>
              <c:showVal val="1"/>
            </c:dLbl>
            <c:spPr>
              <a:noFill/>
              <a:ln w="25354">
                <a:noFill/>
              </a:ln>
            </c:spPr>
            <c:showVal val="1"/>
          </c:dLbls>
          <c:cat>
            <c:numRef>
              <c:f>Sheet1!$A$2:$A$9</c:f>
              <c:numCache>
                <c:formatCode>General</c:formatCode>
                <c:ptCount val="6"/>
                <c:pt idx="0">
                  <c:v>1999</c:v>
                </c:pt>
                <c:pt idx="1">
                  <c:v>2000</c:v>
                </c:pt>
                <c:pt idx="2">
                  <c:v>2002</c:v>
                </c:pt>
                <c:pt idx="3">
                  <c:v>2007</c:v>
                </c:pt>
                <c:pt idx="4">
                  <c:v>2009</c:v>
                </c:pt>
                <c:pt idx="5">
                  <c:v>2010</c:v>
                </c:pt>
              </c:numCache>
            </c:numRef>
          </c:cat>
          <c:val>
            <c:numRef>
              <c:f>Sheet1!$B$2:$B$9</c:f>
              <c:numCache>
                <c:formatCode>0.0</c:formatCode>
                <c:ptCount val="6"/>
                <c:pt idx="0">
                  <c:v>9.5</c:v>
                </c:pt>
                <c:pt idx="1">
                  <c:v>12.2</c:v>
                </c:pt>
                <c:pt idx="2">
                  <c:v>28.2</c:v>
                </c:pt>
                <c:pt idx="3">
                  <c:v>17.899999999999999</c:v>
                </c:pt>
                <c:pt idx="4">
                  <c:v>17.8</c:v>
                </c:pt>
                <c:pt idx="5">
                  <c:v>17.2</c:v>
                </c:pt>
              </c:numCache>
            </c:numRef>
          </c:val>
        </c:ser>
        <c:ser>
          <c:idx val="1"/>
          <c:order val="1"/>
          <c:tx>
            <c:strRef>
              <c:f>Sheet1!$C$1</c:f>
              <c:strCache>
                <c:ptCount val="1"/>
                <c:pt idx="0">
                  <c:v>Gaza Strip</c:v>
                </c:pt>
              </c:strCache>
            </c:strRef>
          </c:tx>
          <c:spPr>
            <a:ln w="12677">
              <a:solidFill>
                <a:srgbClr val="000000"/>
              </a:solidFill>
              <a:prstDash val="solid"/>
            </a:ln>
          </c:spPr>
          <c:marker>
            <c:symbol val="square"/>
            <c:size val="3"/>
            <c:spPr>
              <a:solidFill>
                <a:srgbClr val="FF00FF"/>
              </a:solidFill>
              <a:ln>
                <a:solidFill>
                  <a:srgbClr val="FF00FF"/>
                </a:solidFill>
                <a:prstDash val="solid"/>
              </a:ln>
            </c:spPr>
          </c:marker>
          <c:dLbls>
            <c:spPr>
              <a:noFill/>
              <a:ln w="25354">
                <a:noFill/>
              </a:ln>
            </c:spPr>
            <c:dLblPos val="t"/>
            <c:showVal val="1"/>
          </c:dLbls>
          <c:cat>
            <c:numRef>
              <c:f>Sheet1!$A$2:$A$9</c:f>
              <c:numCache>
                <c:formatCode>General</c:formatCode>
                <c:ptCount val="6"/>
                <c:pt idx="0">
                  <c:v>1999</c:v>
                </c:pt>
                <c:pt idx="1">
                  <c:v>2000</c:v>
                </c:pt>
                <c:pt idx="2">
                  <c:v>2002</c:v>
                </c:pt>
                <c:pt idx="3">
                  <c:v>2007</c:v>
                </c:pt>
                <c:pt idx="4">
                  <c:v>2009</c:v>
                </c:pt>
                <c:pt idx="5">
                  <c:v>2010</c:v>
                </c:pt>
              </c:numCache>
            </c:numRef>
          </c:cat>
          <c:val>
            <c:numRef>
              <c:f>Sheet1!$C$2:$C$9</c:f>
              <c:numCache>
                <c:formatCode>0.0</c:formatCode>
                <c:ptCount val="6"/>
                <c:pt idx="0">
                  <c:v>16.899999999999999</c:v>
                </c:pt>
                <c:pt idx="1">
                  <c:v>18.899999999999999</c:v>
                </c:pt>
                <c:pt idx="2">
                  <c:v>37.9</c:v>
                </c:pt>
                <c:pt idx="3">
                  <c:v>29.7</c:v>
                </c:pt>
                <c:pt idx="4">
                  <c:v>38.6</c:v>
                </c:pt>
                <c:pt idx="5">
                  <c:v>37.800000000000004</c:v>
                </c:pt>
              </c:numCache>
            </c:numRef>
          </c:val>
        </c:ser>
        <c:dLbls>
          <c:showVal val="1"/>
        </c:dLbls>
        <c:marker val="1"/>
        <c:axId val="74162176"/>
        <c:axId val="74164096"/>
      </c:lineChart>
      <c:catAx>
        <c:axId val="74162176"/>
        <c:scaling>
          <c:orientation val="minMax"/>
        </c:scaling>
        <c:axPos val="b"/>
        <c:title>
          <c:tx>
            <c:rich>
              <a:bodyPr/>
              <a:lstStyle/>
              <a:p>
                <a:pPr>
                  <a:defRPr b="1"/>
                </a:pPr>
                <a:r>
                  <a:rPr lang="en-US" b="1"/>
                  <a:t>Year</a:t>
                </a:r>
                <a:endParaRPr lang="ar-SA" b="1"/>
              </a:p>
            </c:rich>
          </c:tx>
          <c:layout>
            <c:manualLayout>
              <c:xMode val="edge"/>
              <c:yMode val="edge"/>
              <c:x val="0.44136056106908389"/>
              <c:y val="0.89176810313678978"/>
            </c:manualLayout>
          </c:layout>
          <c:spPr>
            <a:noFill/>
            <a:ln w="25354">
              <a:noFill/>
            </a:ln>
          </c:spPr>
        </c:title>
        <c:numFmt formatCode="General" sourceLinked="1"/>
        <c:tickLblPos val="nextTo"/>
        <c:spPr>
          <a:ln w="3169">
            <a:solidFill>
              <a:srgbClr val="000000"/>
            </a:solidFill>
            <a:prstDash val="solid"/>
          </a:ln>
        </c:spPr>
        <c:txPr>
          <a:bodyPr rot="0" vert="horz"/>
          <a:lstStyle/>
          <a:p>
            <a:pPr>
              <a:defRPr/>
            </a:pPr>
            <a:endParaRPr lang="ar-SA"/>
          </a:p>
        </c:txPr>
        <c:crossAx val="74164096"/>
        <c:crosses val="autoZero"/>
        <c:auto val="1"/>
        <c:lblAlgn val="ctr"/>
        <c:lblOffset val="100"/>
        <c:tickLblSkip val="1"/>
        <c:tickMarkSkip val="1"/>
      </c:catAx>
      <c:valAx>
        <c:axId val="74164096"/>
        <c:scaling>
          <c:orientation val="minMax"/>
          <c:max val="50"/>
          <c:min val="0"/>
        </c:scaling>
        <c:axPos val="l"/>
        <c:title>
          <c:tx>
            <c:rich>
              <a:bodyPr/>
              <a:lstStyle/>
              <a:p>
                <a:pPr>
                  <a:defRPr b="1"/>
                </a:pPr>
                <a:r>
                  <a:rPr lang="en-US" b="1"/>
                  <a:t>Percente</a:t>
                </a:r>
              </a:p>
            </c:rich>
          </c:tx>
          <c:layout>
            <c:manualLayout>
              <c:xMode val="edge"/>
              <c:yMode val="edge"/>
              <c:x val="2.7283916004162807E-2"/>
              <c:y val="0.32986867333072878"/>
            </c:manualLayout>
          </c:layout>
          <c:spPr>
            <a:noFill/>
            <a:ln w="25354">
              <a:noFill/>
            </a:ln>
          </c:spPr>
        </c:title>
        <c:numFmt formatCode="0" sourceLinked="0"/>
        <c:majorTickMark val="none"/>
        <c:tickLblPos val="nextTo"/>
        <c:spPr>
          <a:ln w="3169">
            <a:solidFill>
              <a:srgbClr val="000000"/>
            </a:solidFill>
            <a:prstDash val="solid"/>
          </a:ln>
        </c:spPr>
        <c:txPr>
          <a:bodyPr rot="0" vert="horz"/>
          <a:lstStyle/>
          <a:p>
            <a:pPr>
              <a:defRPr/>
            </a:pPr>
            <a:endParaRPr lang="ar-SA"/>
          </a:p>
        </c:txPr>
        <c:crossAx val="74162176"/>
        <c:crosses val="autoZero"/>
        <c:crossBetween val="between"/>
        <c:majorUnit val="10"/>
      </c:valAx>
      <c:spPr>
        <a:solidFill>
          <a:srgbClr val="FFFFFF"/>
        </a:solidFill>
        <a:ln w="3169">
          <a:solidFill>
            <a:srgbClr val="FFFFFF"/>
          </a:solidFill>
          <a:prstDash val="solid"/>
        </a:ln>
      </c:spPr>
    </c:plotArea>
    <c:legend>
      <c:legendPos val="r"/>
      <c:layout>
        <c:manualLayout>
          <c:xMode val="edge"/>
          <c:yMode val="edge"/>
          <c:x val="0.16760903414542144"/>
          <c:y val="0.61671277082842668"/>
          <c:w val="0.60407117185185899"/>
          <c:h val="7.9502494403379254E-2"/>
        </c:manualLayout>
      </c:layout>
      <c:spPr>
        <a:solidFill>
          <a:srgbClr val="FFFFFF"/>
        </a:solidFill>
        <a:ln w="3169">
          <a:solidFill>
            <a:srgbClr val="000000"/>
          </a:solidFill>
          <a:prstDash val="solid"/>
        </a:ln>
      </c:spPr>
    </c:legend>
    <c:plotVisOnly val="1"/>
    <c:dispBlanksAs val="gap"/>
  </c:chart>
  <c:spPr>
    <a:noFill/>
    <a:ln w="3169" cap="flat" cmpd="sng" algn="ctr">
      <a:solidFill>
        <a:srgbClr val="000000"/>
      </a:solidFill>
      <a:prstDash val="solid"/>
      <a:miter lim="800000"/>
      <a:headEnd type="none" w="med" len="med"/>
      <a:tailEnd type="none" w="med" len="med"/>
    </a:ln>
  </c:spPr>
  <c:txPr>
    <a:bodyPr/>
    <a:lstStyle/>
    <a:p>
      <a:pPr>
        <a:defRPr sz="799" b="0"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0.44925</cdr:x>
      <cdr:y>0.715</cdr:y>
    </cdr:from>
    <cdr:to>
      <cdr:x>0.60725</cdr:x>
      <cdr:y>0.76</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1294B-6C45-4912-9202-91580E79C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الجهاز المركزي للإحصاء الفلسطيني</vt:lpstr>
    </vt:vector>
  </TitlesOfParts>
  <Company> </Company>
  <LinksUpToDate>false</LinksUpToDate>
  <CharactersWithSpaces>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subject/>
  <dc:creator>HANA</dc:creator>
  <cp:keywords/>
  <dc:description/>
  <cp:lastModifiedBy>hana</cp:lastModifiedBy>
  <cp:revision>17</cp:revision>
  <cp:lastPrinted>2011-10-12T12:07:00Z</cp:lastPrinted>
  <dcterms:created xsi:type="dcterms:W3CDTF">2011-10-09T11:30:00Z</dcterms:created>
  <dcterms:modified xsi:type="dcterms:W3CDTF">2011-10-16T06:41:00Z</dcterms:modified>
</cp:coreProperties>
</file>